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方正小标宋简体" w:hAnsi="华文中宋" w:eastAsia="方正小标宋简体" w:cs="方正小标宋简体"/>
          <w:color w:val="000000"/>
          <w:sz w:val="44"/>
          <w:szCs w:val="44"/>
        </w:rPr>
      </w:pPr>
      <w:r>
        <w:rPr>
          <w:rFonts w:hint="eastAsia" w:ascii="方正小标宋简体" w:hAnsi="华文中宋" w:eastAsia="方正小标宋简体" w:cs="方正小标宋简体"/>
          <w:color w:val="000000"/>
          <w:sz w:val="44"/>
          <w:szCs w:val="44"/>
        </w:rPr>
        <w:t>宾阳县应急管理局2024年度安全生产</w:t>
      </w:r>
    </w:p>
    <w:p>
      <w:pPr>
        <w:spacing w:line="520" w:lineRule="exact"/>
        <w:jc w:val="center"/>
        <w:rPr>
          <w:rFonts w:hint="eastAsia" w:ascii="方正小标宋简体" w:hAnsi="华文中宋" w:eastAsia="方正小标宋简体" w:cs="方正小标宋简体"/>
          <w:color w:val="000000"/>
          <w:sz w:val="44"/>
          <w:szCs w:val="44"/>
        </w:rPr>
      </w:pPr>
      <w:r>
        <w:rPr>
          <w:rFonts w:hint="eastAsia" w:ascii="方正小标宋简体" w:hAnsi="华文中宋" w:eastAsia="方正小标宋简体" w:cs="方正小标宋简体"/>
          <w:color w:val="000000"/>
          <w:sz w:val="44"/>
          <w:szCs w:val="44"/>
        </w:rPr>
        <w:t>监督检查计划</w:t>
      </w:r>
    </w:p>
    <w:p>
      <w:pPr>
        <w:pStyle w:val="2"/>
        <w:spacing w:line="520" w:lineRule="exact"/>
        <w:ind w:firstLine="420"/>
        <w:rPr>
          <w:rFonts w:hint="eastAsia"/>
          <w:color w:val="000000"/>
        </w:rPr>
      </w:pPr>
    </w:p>
    <w:p>
      <w:pPr>
        <w:spacing w:line="520" w:lineRule="exact"/>
        <w:ind w:firstLine="64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进一步落实安全生产行政执法责任制，规范执法行为，增强安全监管的精准性、有效性,倒逼企业落实安全生产主体责任，防范和减少生产安全事故，根据《中华人民共和国安全生产法》、《国务院办公厅关于应急管理综合行政执法有关事项的通知》（国办函〔2023〕51号）、《应急管理部关于印发〈应急管理综合行政执法事项指导目录（2023版）〉的通知》（应急〔2023〕70号）、《应急管理部关于加强安全生产执法工作的意见》（应急〔2021〕23号）、《应急管理行政执法人员依法履职管理规定》（中华人民共和国应急管理部令第9号）、《国家安全监管总局关于印发〈安全生产年度监督检查计划编制办法〉的通知》（安监总政法〔2017〕150号）等有关规定，按照“统筹兼顾、分类分级、突出重点、提高效能”的原则，结合全县安全生产工作实际，制定本计划。</w:t>
      </w:r>
    </w:p>
    <w:p>
      <w:pPr>
        <w:pStyle w:val="5"/>
        <w:widowControl w:val="0"/>
        <w:spacing w:line="520" w:lineRule="exact"/>
        <w:ind w:firstLine="645"/>
        <w:rPr>
          <w:rFonts w:hint="eastAsia"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一、指导思想</w:t>
      </w:r>
    </w:p>
    <w:p>
      <w:pPr>
        <w:pStyle w:val="5"/>
        <w:widowControl w:val="0"/>
        <w:spacing w:line="520" w:lineRule="exact"/>
        <w:ind w:firstLine="645"/>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以习近平新时代中国特色社会主义思想为指导，全面贯彻落实党的二十大，深入贯彻落实习近平总书记关于安全生产重要指示精神和对广西重大方略要求，按照党中央、国务院和自治区党委、政府的决策部署，以及南宁市、宾阳县党委、政府关于安全生产工作要求，统筹发展和安全，</w:t>
      </w:r>
      <w:bookmarkStart w:id="0" w:name="_GoBack"/>
      <w:bookmarkEnd w:id="0"/>
      <w:r>
        <w:rPr>
          <w:rFonts w:hint="eastAsia" w:ascii="仿宋_GB2312" w:hAnsi="仿宋_GB2312" w:eastAsia="仿宋_GB2312" w:cs="仿宋_GB2312"/>
          <w:color w:val="000000"/>
          <w:sz w:val="32"/>
          <w:szCs w:val="32"/>
          <w:shd w:val="clear" w:color="auto" w:fill="FFFFFF"/>
        </w:rPr>
        <w:t>坚持安全第一、预防为主，突出重点行业、重点领域、重点企业，坚持分类分级和“双随机、一公开”监管执法原则要求，提升监管执法效能，推进严格规范公正文明执法，有效防范化解重大安全风险,</w:t>
      </w:r>
      <w:r>
        <w:rPr>
          <w:rFonts w:hint="eastAsia" w:ascii="仿宋_GB2312" w:hAnsi="仿宋_GB2312" w:eastAsia="仿宋_GB2312" w:cs="仿宋_GB2312"/>
          <w:color w:val="000000"/>
          <w:sz w:val="32"/>
          <w:szCs w:val="32"/>
        </w:rPr>
        <w:t>不断提升本质安全水平，加快推进安全生产治理体系和治理能力现代化，努力推进高质量发展和高水平安全良性互动，为奋力谱写中国式现代化宾阳篇章贡献应急力量。</w:t>
      </w:r>
    </w:p>
    <w:p>
      <w:pPr>
        <w:spacing w:line="520" w:lineRule="exact"/>
        <w:ind w:firstLine="640"/>
        <w:jc w:val="left"/>
        <w:rPr>
          <w:rFonts w:hint="eastAsia" w:ascii="黑体" w:hAnsi="黑体" w:eastAsia="黑体" w:cs="黑体"/>
          <w:color w:val="000000"/>
          <w:sz w:val="32"/>
          <w:szCs w:val="32"/>
        </w:rPr>
      </w:pPr>
      <w:r>
        <w:rPr>
          <w:rFonts w:hint="eastAsia" w:ascii="黑体" w:hAnsi="黑体" w:eastAsia="黑体" w:cs="黑体"/>
          <w:color w:val="000000"/>
          <w:sz w:val="32"/>
          <w:szCs w:val="32"/>
        </w:rPr>
        <w:t>二、工作目标和工作任务</w:t>
      </w:r>
    </w:p>
    <w:p>
      <w:pPr>
        <w:spacing w:line="520" w:lineRule="exact"/>
        <w:ind w:firstLine="640"/>
        <w:jc w:val="left"/>
        <w:rPr>
          <w:rFonts w:hint="eastAsia" w:ascii="仿宋_GB2312" w:hAnsi="仿宋_GB2312" w:eastAsia="仿宋_GB2312" w:cs="仿宋_GB2312"/>
          <w:color w:val="000000"/>
          <w:sz w:val="32"/>
          <w:szCs w:val="32"/>
        </w:rPr>
      </w:pPr>
      <w:r>
        <w:rPr>
          <w:rFonts w:hint="eastAsia" w:ascii="楷体" w:hAnsi="楷体" w:eastAsia="楷体" w:cs="楷体"/>
          <w:b/>
          <w:bCs/>
          <w:color w:val="000000"/>
          <w:sz w:val="32"/>
          <w:szCs w:val="32"/>
        </w:rPr>
        <w:t>（一）工作目标。</w:t>
      </w:r>
      <w:r>
        <w:rPr>
          <w:rFonts w:hint="eastAsia" w:ascii="仿宋_GB2312" w:hAnsi="仿宋_GB2312" w:eastAsia="仿宋_GB2312" w:cs="仿宋_GB2312"/>
          <w:color w:val="000000"/>
          <w:sz w:val="32"/>
          <w:szCs w:val="32"/>
        </w:rPr>
        <w:t>通过实施安全生产分类分级监管和按计划执法，督促生产经营单位全面落实安全生产主体责任，及时消除事故隐患，全县生产安全事故起数和死亡人数呈下降势态，确保全县安全生产形势持续稳定向好。达到8个“100%”：年度执法计划完成率100%，行政执法系统录入率100%，重大事故隐患整改率、到期复查率100%，生产安全事故调查结案率100%，行政处罚结案率100%，行政执法“三项制度”执行率100%，涉嫌安全生产违法犯罪行为案件移送率100%，行政复议、诉讼胜诉率100%。</w:t>
      </w:r>
    </w:p>
    <w:p>
      <w:pPr>
        <w:spacing w:line="520" w:lineRule="exact"/>
        <w:ind w:firstLine="640"/>
        <w:jc w:val="left"/>
        <w:rPr>
          <w:rFonts w:hint="eastAsia" w:ascii="仿宋_GB2312" w:hAnsi="仿宋_GB2312" w:eastAsia="仿宋_GB2312" w:cs="仿宋_GB2312"/>
          <w:color w:val="000000"/>
          <w:sz w:val="32"/>
          <w:szCs w:val="32"/>
        </w:rPr>
      </w:pPr>
      <w:r>
        <w:rPr>
          <w:rFonts w:hint="eastAsia" w:ascii="楷体" w:hAnsi="楷体" w:eastAsia="楷体" w:cs="楷体"/>
          <w:b/>
          <w:bCs/>
          <w:color w:val="000000"/>
          <w:sz w:val="32"/>
          <w:szCs w:val="32"/>
        </w:rPr>
        <w:t>（二）工作任务。</w:t>
      </w:r>
      <w:r>
        <w:rPr>
          <w:rFonts w:hint="eastAsia" w:ascii="仿宋_GB2312" w:hAnsi="仿宋_GB2312" w:eastAsia="仿宋_GB2312" w:cs="仿宋_GB2312"/>
          <w:color w:val="000000"/>
          <w:sz w:val="32"/>
          <w:szCs w:val="32"/>
        </w:rPr>
        <w:t>以推进矿山、危险化学品、烟花爆竹、工贸行业领域安全生产专项整治、安全生产治本攻坚三年行动和双重预防体系建设为契机，聚焦重点企业、重点时段、重点节点、重点非法违法行为，严肃查处安全生产非法违法行为，严格执行裁量标准，严格遵循行政处罚程序，做到公正执法、精准执法、规范执法，密切安全生产行刑衔接，严格落实合格典型案例报送。对本计划明确的重点检查对象实现全覆盖，对一般检查对象按照“双随机、一公开”要求按比例抽查。</w:t>
      </w:r>
    </w:p>
    <w:p>
      <w:pPr>
        <w:spacing w:line="520" w:lineRule="exact"/>
        <w:ind w:firstLine="640"/>
        <w:jc w:val="left"/>
        <w:rPr>
          <w:rFonts w:hint="eastAsia" w:ascii="黑体" w:hAnsi="黑体" w:eastAsia="黑体" w:cs="黑体"/>
          <w:color w:val="000000"/>
          <w:sz w:val="32"/>
          <w:szCs w:val="32"/>
        </w:rPr>
      </w:pPr>
      <w:r>
        <w:rPr>
          <w:rFonts w:hint="eastAsia" w:ascii="黑体" w:hAnsi="黑体" w:eastAsia="黑体" w:cs="黑体"/>
          <w:color w:val="000000"/>
          <w:sz w:val="32"/>
          <w:szCs w:val="32"/>
        </w:rPr>
        <w:t>三、监督检查对象、方式和频次</w:t>
      </w:r>
    </w:p>
    <w:p>
      <w:pPr>
        <w:spacing w:line="520" w:lineRule="exact"/>
        <w:ind w:firstLine="640"/>
        <w:jc w:val="left"/>
        <w:rPr>
          <w:rFonts w:hint="eastAsia" w:ascii="楷体" w:hAnsi="楷体" w:eastAsia="楷体" w:cs="楷体"/>
          <w:b/>
          <w:bCs/>
          <w:color w:val="000000"/>
          <w:sz w:val="32"/>
          <w:szCs w:val="32"/>
        </w:rPr>
      </w:pPr>
      <w:r>
        <w:rPr>
          <w:rFonts w:hint="eastAsia" w:ascii="楷体" w:hAnsi="楷体" w:eastAsia="楷体" w:cs="楷体"/>
          <w:b/>
          <w:bCs/>
          <w:color w:val="000000"/>
          <w:sz w:val="32"/>
          <w:szCs w:val="32"/>
        </w:rPr>
        <w:t>（一）监督检查对象</w:t>
      </w:r>
    </w:p>
    <w:p>
      <w:pPr>
        <w:adjustRightInd w:val="0"/>
        <w:snapToGrid w:val="0"/>
        <w:spacing w:line="520" w:lineRule="exact"/>
        <w:ind w:firstLine="640" w:firstLineChars="200"/>
        <w:jc w:val="left"/>
        <w:rPr>
          <w:rFonts w:hint="eastAsia" w:ascii="仿宋_GB2312" w:hAnsi="仿宋_GB2312" w:cs="仿宋_GB2312"/>
          <w:color w:val="000000"/>
          <w:sz w:val="32"/>
          <w:szCs w:val="32"/>
        </w:rPr>
      </w:pPr>
      <w:r>
        <w:rPr>
          <w:rFonts w:hint="eastAsia" w:ascii="仿宋_GB2312" w:hAnsi="仿宋_GB2312" w:eastAsia="仿宋_GB2312" w:cs="仿宋_GB2312"/>
          <w:color w:val="000000"/>
          <w:sz w:val="32"/>
          <w:szCs w:val="32"/>
        </w:rPr>
        <w:t>按照“分类分级监管”的原则，监督检查对象为列入县应急管理局负责监管的矿山、危险化学品、烟花爆竹、工贸行业领域的生产经营单位，分为重点检查对象和一般检查对象。</w:t>
      </w:r>
    </w:p>
    <w:p>
      <w:pPr>
        <w:pStyle w:val="2"/>
        <w:spacing w:line="520" w:lineRule="exact"/>
        <w:ind w:firstLine="643"/>
        <w:rPr>
          <w:rFonts w:hint="eastAsia" w:ascii="楷体" w:hAnsi="楷体" w:eastAsia="楷体" w:cs="楷体"/>
          <w:color w:val="000000"/>
          <w:sz w:val="32"/>
          <w:szCs w:val="32"/>
        </w:rPr>
      </w:pPr>
      <w:r>
        <w:rPr>
          <w:rFonts w:hint="eastAsia" w:ascii="仿宋_GB2312" w:hAnsi="仿宋_GB2312" w:cs="仿宋_GB2312"/>
          <w:b/>
          <w:bCs/>
          <w:color w:val="000000"/>
          <w:sz w:val="32"/>
          <w:szCs w:val="32"/>
        </w:rPr>
        <w:t>1.重点检查对象</w:t>
      </w:r>
    </w:p>
    <w:p>
      <w:pPr>
        <w:pStyle w:val="2"/>
        <w:spacing w:line="520" w:lineRule="exact"/>
        <w:ind w:firstLine="640"/>
        <w:rPr>
          <w:rFonts w:hint="eastAsia" w:ascii="仿宋_GB2312" w:hAnsi="仿宋_GB2312" w:cs="仿宋_GB2312"/>
          <w:color w:val="000000"/>
          <w:sz w:val="32"/>
          <w:szCs w:val="32"/>
        </w:rPr>
      </w:pPr>
      <w:r>
        <w:rPr>
          <w:rFonts w:hint="eastAsia" w:ascii="仿宋_GB2312" w:hAnsi="仿宋_GB2312" w:cs="仿宋_GB2312"/>
          <w:color w:val="000000"/>
          <w:sz w:val="32"/>
          <w:szCs w:val="32"/>
        </w:rPr>
        <w:t>（1）安全生产风险等级较高的生产经营单位，包括金属非金属地下矿山，涉及“两重点一重大”的重点危险化学品生产经营企业，烟花爆竹重点批发企业，涉及粉尘涉爆、有限空间、液氨制冷等重点工贸行业企业等。</w:t>
      </w:r>
    </w:p>
    <w:p>
      <w:pPr>
        <w:pStyle w:val="2"/>
        <w:spacing w:line="520" w:lineRule="exact"/>
        <w:ind w:firstLine="640"/>
        <w:rPr>
          <w:rFonts w:hint="eastAsia" w:ascii="仿宋_GB2312" w:hAnsi="仿宋_GB2312" w:cs="仿宋_GB2312"/>
          <w:color w:val="000000"/>
          <w:sz w:val="32"/>
          <w:szCs w:val="32"/>
        </w:rPr>
      </w:pPr>
      <w:r>
        <w:rPr>
          <w:rFonts w:hint="eastAsia" w:ascii="仿宋_GB2312" w:hAnsi="仿宋_GB2312" w:cs="仿宋_GB2312"/>
          <w:color w:val="000000"/>
          <w:sz w:val="32"/>
          <w:szCs w:val="32"/>
        </w:rPr>
        <w:t>（2）上一年度发生过造成人员死亡的生产安全事故的生产经营单位。</w:t>
      </w:r>
    </w:p>
    <w:p>
      <w:pPr>
        <w:pStyle w:val="2"/>
        <w:spacing w:line="520" w:lineRule="exact"/>
        <w:ind w:firstLine="640"/>
        <w:rPr>
          <w:rFonts w:hint="eastAsia" w:ascii="仿宋_GB2312" w:hAnsi="仿宋_GB2312" w:cs="仿宋_GB2312"/>
          <w:color w:val="000000"/>
          <w:sz w:val="32"/>
          <w:szCs w:val="32"/>
        </w:rPr>
      </w:pPr>
      <w:r>
        <w:rPr>
          <w:rFonts w:hint="eastAsia" w:ascii="仿宋_GB2312" w:hAnsi="仿宋_GB2312" w:cs="仿宋_GB2312"/>
          <w:color w:val="000000"/>
          <w:sz w:val="32"/>
          <w:szCs w:val="32"/>
        </w:rPr>
        <w:t>（3）存在重大生产安全事故隐患的生产经营单位。</w:t>
      </w:r>
    </w:p>
    <w:p>
      <w:pPr>
        <w:pStyle w:val="2"/>
        <w:spacing w:line="520" w:lineRule="exact"/>
        <w:ind w:firstLine="643"/>
        <w:rPr>
          <w:rFonts w:hint="eastAsia" w:ascii="仿宋_GB2312" w:hAnsi="仿宋_GB2312" w:cs="仿宋_GB2312"/>
          <w:b/>
          <w:bCs/>
          <w:color w:val="000000"/>
          <w:sz w:val="32"/>
          <w:szCs w:val="32"/>
        </w:rPr>
      </w:pPr>
      <w:r>
        <w:rPr>
          <w:rFonts w:hint="eastAsia" w:ascii="仿宋_GB2312" w:hAnsi="仿宋_GB2312" w:cs="仿宋_GB2312"/>
          <w:b/>
          <w:bCs/>
          <w:color w:val="000000"/>
          <w:sz w:val="32"/>
          <w:szCs w:val="32"/>
        </w:rPr>
        <w:t>2.一般检查对象</w:t>
      </w:r>
    </w:p>
    <w:p>
      <w:pPr>
        <w:pStyle w:val="2"/>
        <w:spacing w:line="520" w:lineRule="exact"/>
        <w:ind w:firstLine="640"/>
        <w:rPr>
          <w:rFonts w:hint="eastAsia" w:ascii="仿宋_GB2312" w:hAnsi="仿宋_GB2312" w:cs="仿宋_GB2312"/>
          <w:color w:val="000000"/>
          <w:sz w:val="32"/>
          <w:szCs w:val="32"/>
        </w:rPr>
      </w:pPr>
      <w:r>
        <w:rPr>
          <w:rFonts w:hint="eastAsia" w:ascii="仿宋_GB2312" w:hAnsi="仿宋_GB2312" w:cs="仿宋_GB2312"/>
          <w:color w:val="000000"/>
          <w:sz w:val="32"/>
          <w:szCs w:val="32"/>
        </w:rPr>
        <w:t>附表所列的重点检查单位以外的次重点生产经营单位。</w:t>
      </w:r>
    </w:p>
    <w:p>
      <w:pPr>
        <w:spacing w:line="520" w:lineRule="exact"/>
        <w:ind w:firstLine="640"/>
        <w:jc w:val="left"/>
        <w:rPr>
          <w:rFonts w:hint="eastAsia" w:ascii="楷体" w:hAnsi="楷体" w:eastAsia="楷体" w:cs="楷体"/>
          <w:b/>
          <w:bCs/>
          <w:color w:val="000000"/>
          <w:sz w:val="32"/>
          <w:szCs w:val="32"/>
        </w:rPr>
      </w:pPr>
      <w:r>
        <w:rPr>
          <w:rFonts w:hint="eastAsia" w:ascii="楷体" w:hAnsi="楷体" w:eastAsia="楷体" w:cs="楷体"/>
          <w:b/>
          <w:bCs/>
          <w:color w:val="000000"/>
          <w:sz w:val="32"/>
          <w:szCs w:val="32"/>
        </w:rPr>
        <w:t>（二）监督检查方式</w:t>
      </w:r>
    </w:p>
    <w:p>
      <w:pPr>
        <w:pStyle w:val="2"/>
        <w:spacing w:line="520" w:lineRule="exact"/>
        <w:ind w:firstLine="643"/>
        <w:rPr>
          <w:rFonts w:hint="eastAsia" w:ascii="仿宋_GB2312" w:hAnsi="仿宋_GB2312" w:cs="仿宋_GB2312"/>
          <w:color w:val="000000"/>
          <w:sz w:val="32"/>
          <w:szCs w:val="32"/>
        </w:rPr>
      </w:pPr>
      <w:r>
        <w:rPr>
          <w:rFonts w:hint="eastAsia" w:ascii="仿宋_GB2312" w:hAnsi="仿宋_GB2312" w:cs="仿宋_GB2312"/>
          <w:b/>
          <w:bCs/>
          <w:color w:val="000000"/>
          <w:sz w:val="32"/>
          <w:szCs w:val="32"/>
        </w:rPr>
        <w:t>1.重点监督检查。</w:t>
      </w:r>
      <w:r>
        <w:rPr>
          <w:rFonts w:hint="eastAsia" w:ascii="仿宋_GB2312" w:hAnsi="仿宋_GB2312" w:cs="仿宋_GB2312"/>
          <w:color w:val="000000"/>
          <w:sz w:val="32"/>
          <w:szCs w:val="32"/>
        </w:rPr>
        <w:t>根据本计划确定的重点监督对象实现监督检查“全覆盖”。</w:t>
      </w:r>
    </w:p>
    <w:p>
      <w:pPr>
        <w:pStyle w:val="2"/>
        <w:spacing w:line="520" w:lineRule="exact"/>
        <w:ind w:firstLine="643"/>
        <w:rPr>
          <w:rFonts w:hint="eastAsia" w:ascii="仿宋_GB2312" w:hAnsi="仿宋_GB2312" w:cs="仿宋_GB2312"/>
          <w:color w:val="000000"/>
          <w:sz w:val="32"/>
          <w:szCs w:val="32"/>
        </w:rPr>
      </w:pPr>
      <w:r>
        <w:rPr>
          <w:rFonts w:hint="eastAsia" w:ascii="仿宋_GB2312" w:hAnsi="仿宋_GB2312" w:cs="仿宋_GB2312"/>
          <w:b/>
          <w:bCs/>
          <w:color w:val="000000"/>
          <w:sz w:val="32"/>
          <w:szCs w:val="32"/>
        </w:rPr>
        <w:t>2.一般监督检查。</w:t>
      </w:r>
      <w:r>
        <w:rPr>
          <w:rFonts w:hint="eastAsia" w:ascii="仿宋_GB2312" w:hAnsi="仿宋_GB2312" w:cs="仿宋_GB2312"/>
          <w:color w:val="000000"/>
          <w:sz w:val="32"/>
          <w:szCs w:val="32"/>
        </w:rPr>
        <w:t>根据本计划确定的一般监督检查对象按照不低于30%的抽查比例实施“双随机”检查。</w:t>
      </w:r>
    </w:p>
    <w:p>
      <w:pPr>
        <w:pStyle w:val="2"/>
        <w:spacing w:line="520" w:lineRule="exact"/>
        <w:ind w:firstLine="643"/>
        <w:rPr>
          <w:rFonts w:hint="eastAsia" w:ascii="仿宋_GB2312" w:hAnsi="仿宋_GB2312" w:cs="仿宋_GB2312"/>
          <w:color w:val="000000"/>
          <w:sz w:val="32"/>
          <w:szCs w:val="32"/>
        </w:rPr>
      </w:pPr>
      <w:r>
        <w:rPr>
          <w:rFonts w:hint="eastAsia" w:ascii="仿宋_GB2312" w:hAnsi="仿宋_GB2312" w:cs="仿宋_GB2312"/>
          <w:b/>
          <w:bCs/>
          <w:color w:val="000000"/>
          <w:sz w:val="32"/>
          <w:szCs w:val="32"/>
        </w:rPr>
        <w:t>3.专项监督检查。</w:t>
      </w:r>
      <w:r>
        <w:rPr>
          <w:rFonts w:hint="eastAsia" w:ascii="仿宋_GB2312" w:hAnsi="仿宋_GB2312" w:cs="仿宋_GB2312"/>
          <w:color w:val="000000"/>
          <w:sz w:val="32"/>
          <w:szCs w:val="32"/>
        </w:rPr>
        <w:t>主要按照上级要求和县政府安排以及本局决定开展的安全生产检查督查、专项整治行动的安全检查，分别由局工矿商贸股、危化股另行细化确定专项监督检查方案并组织实施。</w:t>
      </w:r>
    </w:p>
    <w:p>
      <w:pPr>
        <w:pStyle w:val="2"/>
        <w:spacing w:line="520" w:lineRule="exact"/>
        <w:ind w:firstLine="643"/>
        <w:rPr>
          <w:rFonts w:hint="eastAsia" w:ascii="仿宋_GB2312" w:hAnsi="仿宋_GB2312" w:cs="仿宋_GB2312"/>
          <w:color w:val="000000"/>
          <w:sz w:val="32"/>
          <w:szCs w:val="32"/>
        </w:rPr>
      </w:pPr>
      <w:r>
        <w:rPr>
          <w:rFonts w:hint="eastAsia" w:ascii="仿宋_GB2312" w:hAnsi="仿宋_GB2312" w:cs="仿宋_GB2312"/>
          <w:b/>
          <w:bCs/>
          <w:color w:val="000000"/>
          <w:sz w:val="32"/>
          <w:szCs w:val="32"/>
        </w:rPr>
        <w:t>4.检查信息录入。</w:t>
      </w:r>
      <w:r>
        <w:rPr>
          <w:rFonts w:hint="eastAsia" w:ascii="仿宋_GB2312" w:hAnsi="仿宋_GB2312" w:cs="仿宋_GB2312"/>
          <w:color w:val="000000"/>
          <w:sz w:val="32"/>
          <w:szCs w:val="32"/>
        </w:rPr>
        <w:t>在检查工作完成后24小时内,将有关检查情况录入应急管理部“安全生产行政执法统计系统”和“互联网+执法”系统；涉及“双随机”抽查的，通过广西“双随机、一公开”监管平台及时公示抽查情况和监督检查结果。</w:t>
      </w:r>
    </w:p>
    <w:p>
      <w:pPr>
        <w:spacing w:line="520" w:lineRule="exact"/>
        <w:ind w:firstLine="643" w:firstLineChars="200"/>
        <w:jc w:val="left"/>
        <w:rPr>
          <w:rFonts w:hint="eastAsia" w:ascii="楷体" w:hAnsi="楷体" w:eastAsia="楷体" w:cs="楷体"/>
          <w:b/>
          <w:bCs/>
          <w:color w:val="000000"/>
          <w:sz w:val="32"/>
          <w:szCs w:val="32"/>
        </w:rPr>
      </w:pPr>
      <w:r>
        <w:rPr>
          <w:rFonts w:hint="eastAsia" w:ascii="楷体" w:hAnsi="楷体" w:eastAsia="楷体" w:cs="楷体"/>
          <w:b/>
          <w:bCs/>
          <w:color w:val="000000"/>
          <w:sz w:val="32"/>
          <w:szCs w:val="32"/>
        </w:rPr>
        <w:t>（三）监督检查频次</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1.重点执法检查对象每年至少实地检查1次（其中矿山企业风险等级C级每半年一次、D级每季度一次）。</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2.一般执法检查对象，采用“双随机”抽查方式进行，随机抽查率不低于30%，抽中的企业每年至少实地检查1次。</w:t>
      </w:r>
    </w:p>
    <w:p>
      <w:pPr>
        <w:pStyle w:val="2"/>
        <w:spacing w:line="520" w:lineRule="exact"/>
        <w:ind w:firstLine="640"/>
        <w:rPr>
          <w:rFonts w:hint="eastAsia" w:ascii="黑体" w:hAnsi="黑体" w:eastAsia="黑体" w:cs="黑体"/>
          <w:color w:val="000000"/>
          <w:sz w:val="32"/>
          <w:szCs w:val="32"/>
        </w:rPr>
      </w:pPr>
      <w:r>
        <w:rPr>
          <w:rFonts w:hint="eastAsia" w:ascii="黑体" w:hAnsi="黑体" w:eastAsia="黑体" w:cs="黑体"/>
          <w:color w:val="000000"/>
          <w:sz w:val="32"/>
          <w:szCs w:val="32"/>
        </w:rPr>
        <w:t>四、实施主体</w:t>
      </w:r>
    </w:p>
    <w:p>
      <w:pPr>
        <w:pStyle w:val="2"/>
        <w:spacing w:line="520" w:lineRule="exact"/>
        <w:ind w:firstLine="640"/>
        <w:rPr>
          <w:rFonts w:hint="eastAsia" w:ascii="仿宋_GB2312" w:hAnsi="仿宋_GB2312" w:cs="仿宋_GB2312"/>
          <w:color w:val="000000"/>
          <w:sz w:val="32"/>
          <w:szCs w:val="32"/>
        </w:rPr>
      </w:pPr>
      <w:r>
        <w:rPr>
          <w:rFonts w:hint="eastAsia" w:ascii="仿宋_GB2312" w:hAnsi="仿宋_GB2312" w:cs="仿宋_GB2312"/>
          <w:color w:val="000000"/>
          <w:sz w:val="32"/>
          <w:szCs w:val="32"/>
        </w:rPr>
        <w:t>对生产经营单位的执法检查以及调查核实安全生产违法违规行为的投诉举报，由局工矿商贸股、危化股等相关业务股室负责具体实施。</w:t>
      </w:r>
    </w:p>
    <w:p>
      <w:pPr>
        <w:spacing w:line="520" w:lineRule="exact"/>
        <w:ind w:firstLine="640"/>
        <w:jc w:val="left"/>
        <w:rPr>
          <w:rFonts w:hint="eastAsia" w:ascii="黑体" w:hAnsi="黑体" w:eastAsia="黑体" w:cs="黑体"/>
          <w:color w:val="000000"/>
          <w:sz w:val="32"/>
          <w:szCs w:val="32"/>
        </w:rPr>
      </w:pPr>
      <w:r>
        <w:rPr>
          <w:rFonts w:hint="eastAsia" w:ascii="黑体" w:hAnsi="黑体" w:eastAsia="黑体" w:cs="黑体"/>
          <w:color w:val="000000"/>
          <w:sz w:val="32"/>
          <w:szCs w:val="32"/>
        </w:rPr>
        <w:t>五、监督检查内容</w:t>
      </w:r>
    </w:p>
    <w:p>
      <w:pPr>
        <w:spacing w:line="520" w:lineRule="exact"/>
        <w:ind w:firstLine="643" w:firstLineChars="200"/>
        <w:jc w:val="left"/>
        <w:rPr>
          <w:rFonts w:hint="eastAsia" w:ascii="仿宋_GB2312" w:hAnsi="仿宋_GB2312" w:eastAsia="仿宋_GB2312" w:cs="仿宋_GB2312"/>
          <w:color w:val="000000"/>
          <w:sz w:val="32"/>
          <w:szCs w:val="32"/>
        </w:rPr>
      </w:pPr>
      <w:r>
        <w:rPr>
          <w:rFonts w:hint="eastAsia" w:ascii="楷体" w:hAnsi="楷体" w:eastAsia="楷体" w:cs="楷体"/>
          <w:b/>
          <w:bCs/>
          <w:color w:val="000000"/>
          <w:sz w:val="32"/>
          <w:szCs w:val="32"/>
        </w:rPr>
        <w:t>（一）综合重点监督检查事项。</w:t>
      </w:r>
      <w:r>
        <w:rPr>
          <w:rFonts w:hint="eastAsia" w:ascii="仿宋_GB2312" w:hAnsi="仿宋_GB2312" w:eastAsia="仿宋_GB2312" w:cs="仿宋_GB2312"/>
          <w:color w:val="000000"/>
          <w:sz w:val="32"/>
          <w:szCs w:val="32"/>
        </w:rPr>
        <w:t>根据《中华人民共和国安全生产法》《应急管理综合行政执法事项指导目录（2023版）》等要求，确定如下综合重点监督检查事项（详见附件1）：</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1.主要负责人、其他负责人、安全生产管理机构以及安全生产管理人员履行职责情况；</w:t>
      </w:r>
    </w:p>
    <w:p>
      <w:pPr>
        <w:pStyle w:val="2"/>
        <w:spacing w:line="520" w:lineRule="exact"/>
        <w:ind w:firstLine="640"/>
        <w:rPr>
          <w:rFonts w:hint="eastAsia" w:ascii="仿宋_GB2312" w:hAnsi="仿宋_GB2312" w:cs="仿宋_GB2312"/>
          <w:color w:val="000000"/>
          <w:sz w:val="32"/>
          <w:szCs w:val="32"/>
        </w:rPr>
      </w:pPr>
      <w:r>
        <w:rPr>
          <w:rFonts w:hint="eastAsia" w:ascii="仿宋_GB2312" w:hAnsi="仿宋_GB2312" w:cs="仿宋_GB2312"/>
          <w:color w:val="000000"/>
          <w:sz w:val="32"/>
          <w:szCs w:val="32"/>
        </w:rPr>
        <w:t>2.安全投入保障情况；</w:t>
      </w:r>
    </w:p>
    <w:p>
      <w:pPr>
        <w:pStyle w:val="2"/>
        <w:spacing w:line="520" w:lineRule="exact"/>
        <w:ind w:firstLine="640"/>
        <w:rPr>
          <w:rFonts w:hint="eastAsia" w:ascii="仿宋_GB2312" w:hAnsi="仿宋_GB2312" w:cs="仿宋_GB2312"/>
          <w:color w:val="000000"/>
          <w:sz w:val="32"/>
          <w:szCs w:val="32"/>
        </w:rPr>
      </w:pPr>
      <w:r>
        <w:rPr>
          <w:rFonts w:hint="eastAsia" w:ascii="仿宋_GB2312" w:hAnsi="仿宋_GB2312" w:cs="仿宋_GB2312"/>
          <w:color w:val="000000"/>
          <w:sz w:val="32"/>
          <w:szCs w:val="32"/>
        </w:rPr>
        <w:t>3.安全生产管理机构人员设置配备及规章制度制定与执行情况；</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4.安全生产教育和培训落实情况；</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5.特种作业人员持证上岗情况；</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6.建设项目安全评价及建设项目安全设施“三同时”情况；</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7.安全警示标志情况；</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8.安全设备设施管理情况；</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9.重大危险源安全管理情况；</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10.事故隐患排查治理情况；</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11.危险场所与员工宿舍安全距离及安全出口管理情况；</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12.危险作业安全管理情况；</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13.劳动防护用品管理情况；</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14.生产经营项目、场所、设备发包、出租管理情况；</w:t>
      </w:r>
    </w:p>
    <w:p>
      <w:pPr>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15.安全生产责任保险投保情况；</w:t>
      </w:r>
    </w:p>
    <w:p>
      <w:pPr>
        <w:pStyle w:val="2"/>
        <w:spacing w:line="520" w:lineRule="exact"/>
        <w:ind w:firstLine="640"/>
        <w:rPr>
          <w:color w:val="000000"/>
        </w:rPr>
      </w:pPr>
      <w:r>
        <w:rPr>
          <w:rFonts w:hint="eastAsia" w:ascii="仿宋_GB2312" w:hAnsi="仿宋_GB2312" w:cs="仿宋_GB2312"/>
          <w:color w:val="000000"/>
          <w:sz w:val="32"/>
          <w:szCs w:val="32"/>
        </w:rPr>
        <w:t>16.依法应当监督检查的其他情况。</w:t>
      </w:r>
    </w:p>
    <w:p>
      <w:pPr>
        <w:spacing w:line="520" w:lineRule="exact"/>
        <w:ind w:firstLine="643" w:firstLineChars="200"/>
        <w:jc w:val="left"/>
        <w:rPr>
          <w:rFonts w:hint="eastAsia" w:ascii="仿宋_GB2312" w:hAnsi="仿宋_GB2312" w:eastAsia="仿宋_GB2312" w:cs="仿宋_GB2312"/>
          <w:color w:val="000000"/>
          <w:sz w:val="32"/>
          <w:szCs w:val="32"/>
        </w:rPr>
      </w:pPr>
      <w:r>
        <w:rPr>
          <w:rFonts w:hint="eastAsia" w:ascii="楷体" w:hAnsi="楷体" w:eastAsia="楷体" w:cs="楷体"/>
          <w:b/>
          <w:bCs/>
          <w:color w:val="000000"/>
          <w:sz w:val="32"/>
          <w:szCs w:val="32"/>
        </w:rPr>
        <w:t>（二）非煤矿山重点监督检查事项。</w:t>
      </w:r>
      <w:r>
        <w:rPr>
          <w:rFonts w:hint="eastAsia" w:ascii="仿宋_GB2312" w:hAnsi="仿宋_GB2312" w:eastAsia="仿宋_GB2312" w:cs="仿宋_GB2312"/>
          <w:color w:val="000000"/>
          <w:sz w:val="32"/>
          <w:szCs w:val="32"/>
        </w:rPr>
        <w:t>综合重点监督检查事项，地下“五职矿长”和专业技术人员配备情况，安全避险“六大系统”运行情况，矿井通风、顶板分级管理情况，地下隐蔽致灾因素普查治理情况，矿井提升、运输安全管理情况，地下矿山动火作业安全管理情况,露天矿山工作帮坡角、台阶高度管理及采场边坡稳定性情况，建设项目分包转包管理情况。</w:t>
      </w:r>
    </w:p>
    <w:p>
      <w:pPr>
        <w:spacing w:line="520" w:lineRule="exact"/>
        <w:ind w:firstLine="643" w:firstLineChars="200"/>
        <w:jc w:val="left"/>
        <w:rPr>
          <w:rFonts w:hint="eastAsia" w:ascii="仿宋_GB2312" w:hAnsi="仿宋_GB2312" w:eastAsia="仿宋_GB2312" w:cs="仿宋_GB2312"/>
          <w:color w:val="000000"/>
          <w:sz w:val="32"/>
          <w:szCs w:val="32"/>
        </w:rPr>
      </w:pPr>
      <w:r>
        <w:rPr>
          <w:rFonts w:hint="eastAsia" w:ascii="楷体" w:hAnsi="楷体" w:eastAsia="楷体" w:cs="楷体"/>
          <w:b/>
          <w:bCs/>
          <w:color w:val="000000"/>
          <w:sz w:val="32"/>
          <w:szCs w:val="32"/>
        </w:rPr>
        <w:t>（三）危险化学品重点监督检查事项。</w:t>
      </w:r>
      <w:r>
        <w:rPr>
          <w:rFonts w:hint="eastAsia" w:ascii="仿宋_GB2312" w:hAnsi="仿宋_GB2312" w:eastAsia="仿宋_GB2312" w:cs="仿宋_GB2312"/>
          <w:color w:val="000000"/>
          <w:sz w:val="32"/>
          <w:szCs w:val="32"/>
        </w:rPr>
        <w:t>综合重点监督检查事项，生产经营企业安全许可条件保持情况，建设项目分包转包管理情况，2023年度国家、自治区督导重大事故隐患整改落实情况。</w:t>
      </w:r>
    </w:p>
    <w:p>
      <w:pPr>
        <w:spacing w:line="520" w:lineRule="exact"/>
        <w:ind w:firstLine="643" w:firstLineChars="200"/>
        <w:jc w:val="left"/>
        <w:rPr>
          <w:rFonts w:hint="eastAsia" w:ascii="仿宋_GB2312" w:hAnsi="仿宋_GB2312" w:eastAsia="仿宋_GB2312" w:cs="仿宋_GB2312"/>
          <w:color w:val="000000"/>
          <w:sz w:val="32"/>
          <w:szCs w:val="32"/>
        </w:rPr>
      </w:pPr>
      <w:r>
        <w:rPr>
          <w:rFonts w:hint="eastAsia" w:ascii="楷体" w:hAnsi="楷体" w:eastAsia="楷体" w:cs="楷体"/>
          <w:b/>
          <w:bCs/>
          <w:color w:val="000000"/>
          <w:sz w:val="32"/>
          <w:szCs w:val="32"/>
        </w:rPr>
        <w:t>（四）烟花爆竹重点监督检查事项。</w:t>
      </w:r>
      <w:r>
        <w:rPr>
          <w:rFonts w:hint="eastAsia" w:ascii="仿宋_GB2312" w:hAnsi="仿宋_GB2312" w:eastAsia="仿宋_GB2312" w:cs="仿宋_GB2312"/>
          <w:color w:val="000000"/>
          <w:sz w:val="32"/>
          <w:szCs w:val="32"/>
        </w:rPr>
        <w:t>综合重点监督检查事项，经营单位安全许可条件保持情况，建设项目分包转包管理情况，应急预案制定及实施情况，烟花爆竹流向管理制度落实情况。</w:t>
      </w:r>
    </w:p>
    <w:p>
      <w:pPr>
        <w:adjustRightInd w:val="0"/>
        <w:snapToGrid w:val="0"/>
        <w:spacing w:line="520" w:lineRule="exact"/>
        <w:ind w:firstLine="643" w:firstLineChars="200"/>
        <w:jc w:val="left"/>
        <w:rPr>
          <w:rFonts w:hint="eastAsia" w:ascii="仿宋_GB2312" w:hAnsi="仿宋_GB2312" w:eastAsia="仿宋_GB2312" w:cs="仿宋_GB2312"/>
          <w:color w:val="000000"/>
          <w:sz w:val="32"/>
          <w:szCs w:val="32"/>
        </w:rPr>
      </w:pPr>
      <w:r>
        <w:rPr>
          <w:rFonts w:hint="eastAsia" w:ascii="楷体" w:hAnsi="楷体" w:eastAsia="楷体" w:cs="楷体"/>
          <w:b/>
          <w:bCs/>
          <w:color w:val="000000"/>
          <w:sz w:val="32"/>
          <w:szCs w:val="32"/>
        </w:rPr>
        <w:t>（五）工贸重点监督检查事项。</w:t>
      </w:r>
      <w:r>
        <w:rPr>
          <w:rFonts w:hint="eastAsia" w:ascii="仿宋_GB2312" w:hAnsi="仿宋_GB2312" w:eastAsia="仿宋_GB2312" w:cs="仿宋_GB2312"/>
          <w:color w:val="000000"/>
          <w:sz w:val="32"/>
          <w:szCs w:val="32"/>
        </w:rPr>
        <w:t>综合重点监督检查事项，涉外包作业企业安全管控重点检查事项，实行“作业票”管理检查事项，金属冶炼、粉尘涉爆、有限空间、液氨制冷等重点检查事项。</w:t>
      </w:r>
    </w:p>
    <w:p>
      <w:pPr>
        <w:adjustRightInd w:val="0"/>
        <w:snapToGrid w:val="0"/>
        <w:spacing w:line="520" w:lineRule="exact"/>
        <w:ind w:firstLine="640" w:firstLineChars="200"/>
        <w:jc w:val="left"/>
        <w:rPr>
          <w:rFonts w:hint="eastAsia" w:ascii="黑体" w:hAnsi="黑体" w:eastAsia="黑体" w:cs="黑体"/>
          <w:color w:val="000000"/>
          <w:sz w:val="32"/>
          <w:szCs w:val="32"/>
        </w:rPr>
      </w:pPr>
      <w:r>
        <w:rPr>
          <w:rFonts w:hint="eastAsia" w:ascii="黑体" w:hAnsi="黑体" w:eastAsia="黑体" w:cs="黑体"/>
          <w:color w:val="000000"/>
          <w:sz w:val="32"/>
          <w:szCs w:val="32"/>
        </w:rPr>
        <w:t>六、执法工作日测算</w:t>
      </w:r>
    </w:p>
    <w:p>
      <w:pPr>
        <w:adjustRightInd w:val="0"/>
        <w:snapToGrid w:val="0"/>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（一）总法定工作日：3936日。</w:t>
      </w:r>
    </w:p>
    <w:p>
      <w:pPr>
        <w:adjustRightInd w:val="0"/>
        <w:snapToGrid w:val="0"/>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（二）监督检查工作日：448日。其中：重点检查工作日266日、一般检查工作日182日。</w:t>
      </w:r>
    </w:p>
    <w:p>
      <w:pPr>
        <w:adjustRightInd w:val="0"/>
        <w:snapToGrid w:val="0"/>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（三）其他执法工作日：2098日。</w:t>
      </w:r>
    </w:p>
    <w:p>
      <w:pPr>
        <w:adjustRightInd w:val="0"/>
        <w:snapToGrid w:val="0"/>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（四）非执法工作日：1390日。</w:t>
      </w:r>
    </w:p>
    <w:p>
      <w:pPr>
        <w:adjustRightInd w:val="0"/>
        <w:snapToGrid w:val="0"/>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行政执法人员数量和总法定工作日、监督检查执法工作日、其他执法工作日、非执法工作日的计算详见附件3。</w:t>
      </w:r>
    </w:p>
    <w:p>
      <w:pPr>
        <w:spacing w:line="520" w:lineRule="exact"/>
        <w:ind w:firstLine="640"/>
        <w:jc w:val="left"/>
        <w:rPr>
          <w:rFonts w:hint="eastAsia" w:ascii="黑体" w:hAnsi="黑体" w:eastAsia="黑体" w:cs="黑体"/>
          <w:color w:val="000000"/>
          <w:sz w:val="32"/>
          <w:szCs w:val="32"/>
        </w:rPr>
      </w:pPr>
      <w:r>
        <w:rPr>
          <w:rFonts w:hint="eastAsia" w:ascii="黑体" w:hAnsi="黑体" w:eastAsia="黑体" w:cs="黑体"/>
          <w:color w:val="000000"/>
          <w:sz w:val="32"/>
          <w:szCs w:val="32"/>
        </w:rPr>
        <w:t>七、工作要求</w:t>
      </w:r>
    </w:p>
    <w:p>
      <w:pPr>
        <w:spacing w:line="520" w:lineRule="exact"/>
        <w:ind w:firstLine="640"/>
        <w:jc w:val="left"/>
        <w:rPr>
          <w:rFonts w:hint="eastAsia" w:ascii="仿宋_GB2312" w:hAnsi="仿宋_GB2312" w:eastAsia="仿宋_GB2312" w:cs="仿宋_GB2312"/>
          <w:color w:val="000000"/>
          <w:sz w:val="32"/>
          <w:szCs w:val="32"/>
        </w:rPr>
      </w:pPr>
      <w:r>
        <w:rPr>
          <w:rFonts w:hint="eastAsia" w:ascii="楷体" w:hAnsi="楷体" w:eastAsia="楷体" w:cs="楷体"/>
          <w:b/>
          <w:color w:val="000000"/>
          <w:sz w:val="32"/>
          <w:szCs w:val="32"/>
        </w:rPr>
        <w:t>（一）全面推进严格规范公正文明执法。</w:t>
      </w:r>
      <w:r>
        <w:rPr>
          <w:rFonts w:hint="eastAsia" w:ascii="仿宋_GB2312" w:hAnsi="仿宋_GB2312" w:eastAsia="仿宋_GB2312" w:cs="仿宋_GB2312"/>
          <w:color w:val="000000"/>
          <w:sz w:val="32"/>
          <w:szCs w:val="32"/>
        </w:rPr>
        <w:t>深入推进行政执法“三项制度”，坚持过罚相当，确保实体与程序并行，促进执法规范化。持续推进“互联网+执法”系统应用，提升监管执法智能化、精准化水平。规范实施行政执法与刑事司法衔接机制，防止有案难移、有案不移和不查不办、以罚代刑现象。严格开展应急系统执法监督，切实改进执法薄弱环节，不断提高执法效能。</w:t>
      </w:r>
    </w:p>
    <w:p>
      <w:pPr>
        <w:spacing w:line="520" w:lineRule="exact"/>
        <w:ind w:firstLine="640"/>
        <w:jc w:val="left"/>
        <w:rPr>
          <w:rFonts w:hint="eastAsia" w:ascii="仿宋_GB2312" w:hAnsi="仿宋_GB2312" w:eastAsia="仿宋_GB2312" w:cs="仿宋_GB2312"/>
          <w:color w:val="000000"/>
          <w:sz w:val="32"/>
          <w:szCs w:val="32"/>
        </w:rPr>
      </w:pPr>
      <w:r>
        <w:rPr>
          <w:rFonts w:hint="eastAsia" w:ascii="楷体" w:hAnsi="楷体" w:eastAsia="楷体" w:cs="楷体"/>
          <w:b/>
          <w:color w:val="000000"/>
          <w:sz w:val="32"/>
          <w:szCs w:val="32"/>
        </w:rPr>
        <w:t>（二）多渠道多形式开展执法培训教育。</w:t>
      </w:r>
      <w:r>
        <w:rPr>
          <w:rFonts w:hint="eastAsia" w:ascii="仿宋_GB2312" w:hAnsi="仿宋_GB2312" w:eastAsia="仿宋_GB2312" w:cs="仿宋_GB2312"/>
          <w:color w:val="000000"/>
          <w:sz w:val="32"/>
          <w:szCs w:val="32"/>
        </w:rPr>
        <w:t>积极创新方式方法，采用“日常学习+集中培训+专题授课”等方式，充分运用“应急管理干部网络学院”、“应急大讲堂”平台，打出培教学“组合拳”，学好用好《安全生产行政执法规范用语指引》，规范使用《安全生产监管执法手册（2020年版）》，认真执行《广西壮族自治区行政处罚案卷评查标准》，全面提升执法人员法治素养。</w:t>
      </w:r>
    </w:p>
    <w:p>
      <w:pPr>
        <w:spacing w:line="520" w:lineRule="exact"/>
        <w:ind w:firstLine="643" w:firstLineChars="200"/>
        <w:jc w:val="left"/>
        <w:rPr>
          <w:rFonts w:hint="eastAsia" w:ascii="仿宋_GB2312" w:hAnsi="仿宋_GB2312" w:eastAsia="仿宋_GB2312" w:cs="仿宋_GB2312"/>
          <w:color w:val="000000"/>
          <w:sz w:val="32"/>
          <w:szCs w:val="32"/>
        </w:rPr>
      </w:pPr>
      <w:r>
        <w:rPr>
          <w:rFonts w:hint="eastAsia" w:ascii="楷体" w:hAnsi="楷体" w:eastAsia="楷体" w:cs="楷体"/>
          <w:b/>
          <w:color w:val="000000"/>
          <w:sz w:val="32"/>
          <w:szCs w:val="32"/>
        </w:rPr>
        <w:t>（三）加大安全生产行政执法力度。</w:t>
      </w:r>
      <w:r>
        <w:rPr>
          <w:rFonts w:hint="eastAsia" w:ascii="仿宋_GB2312" w:hAnsi="仿宋_GB2312" w:eastAsia="仿宋_GB2312" w:cs="仿宋_GB2312"/>
          <w:color w:val="000000"/>
          <w:sz w:val="32"/>
          <w:szCs w:val="32"/>
        </w:rPr>
        <w:t>要针对执法检查中发现的各类违法行为，严格依据法律法规进行处罚，不得以责令限期改正等措施代替处罚，对存在多种违法行为的案件要分别裁量、合并处罚，不得选择性处罚。对违法行为逾期未整改或整改不到位的，以及同一违法行为反复出现的，要依法严肃查处、从重处罚，坚决防止执法“宽松软”。要以报送合格典型执法案例为契机，围绕重点事项开展监督检查，推动执法人员精准执法。</w:t>
      </w:r>
    </w:p>
    <w:p>
      <w:pPr>
        <w:spacing w:line="520" w:lineRule="exact"/>
        <w:ind w:firstLine="643" w:firstLineChars="200"/>
        <w:jc w:val="left"/>
        <w:rPr>
          <w:rFonts w:hint="eastAsia" w:ascii="仿宋_GB2312" w:hAnsi="仿宋_GB2312" w:eastAsia="仿宋_GB2312" w:cs="仿宋_GB2312"/>
          <w:color w:val="000000"/>
          <w:sz w:val="32"/>
          <w:szCs w:val="32"/>
        </w:rPr>
      </w:pPr>
      <w:r>
        <w:rPr>
          <w:rFonts w:hint="eastAsia" w:ascii="楷体" w:hAnsi="楷体" w:eastAsia="楷体" w:cs="楷体"/>
          <w:b/>
          <w:color w:val="000000"/>
          <w:sz w:val="32"/>
          <w:szCs w:val="32"/>
        </w:rPr>
        <w:t>（四）强化安全生产宣传。</w:t>
      </w:r>
      <w:r>
        <w:rPr>
          <w:rFonts w:hint="eastAsia" w:ascii="仿宋_GB2312" w:hAnsi="仿宋_GB2312" w:eastAsia="仿宋_GB2312" w:cs="仿宋_GB2312"/>
          <w:color w:val="000000"/>
          <w:sz w:val="32"/>
          <w:szCs w:val="32"/>
        </w:rPr>
        <w:t>突出抓安全生产月、防灾减灾日等专题活动宣传，深入开展安全宣传“五进”活动，加强与媒体的合作力度，组织开展生产安全事故警示教育宣传，加大安全隐患问题曝光，建立健全安全宣传常态化机制，在全县营造全民参与的良好氛围，构建全县安全“大宣传”格局。</w:t>
      </w:r>
    </w:p>
    <w:p>
      <w:pPr>
        <w:spacing w:line="520" w:lineRule="exact"/>
        <w:jc w:val="left"/>
        <w:rPr>
          <w:rFonts w:hint="eastAsia" w:ascii="仿宋_GB2312" w:hAnsi="仿宋_GB2312" w:eastAsia="仿宋_GB2312" w:cs="仿宋_GB2312"/>
          <w:color w:val="000000"/>
          <w:sz w:val="32"/>
          <w:szCs w:val="32"/>
        </w:rPr>
      </w:pPr>
    </w:p>
    <w:p>
      <w:pPr>
        <w:adjustRightInd w:val="0"/>
        <w:snapToGrid w:val="0"/>
        <w:spacing w:line="52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附件：1.2024年综合重点监督检查事项</w:t>
      </w:r>
    </w:p>
    <w:p>
      <w:pPr>
        <w:adjustRightInd w:val="0"/>
        <w:snapToGrid w:val="0"/>
        <w:spacing w:line="520" w:lineRule="exact"/>
        <w:ind w:firstLine="1600" w:firstLineChars="5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2.2024年安全生产执法检查对象名录库</w:t>
      </w:r>
    </w:p>
    <w:p>
      <w:pPr>
        <w:adjustRightInd w:val="0"/>
        <w:snapToGrid w:val="0"/>
        <w:spacing w:line="520" w:lineRule="exact"/>
        <w:ind w:firstLine="1600" w:firstLineChars="5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3.执法工作日测算表</w:t>
      </w:r>
    </w:p>
    <w:p>
      <w:pPr>
        <w:adjustRightInd w:val="0"/>
        <w:snapToGrid w:val="0"/>
        <w:spacing w:line="520" w:lineRule="exact"/>
        <w:ind w:firstLine="1600" w:firstLineChars="5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4.2024年执法人员名录库</w:t>
      </w:r>
    </w:p>
    <w:p>
      <w:pPr>
        <w:spacing w:line="520" w:lineRule="exact"/>
        <w:jc w:val="left"/>
        <w:rPr>
          <w:rFonts w:hint="eastAsia" w:ascii="黑体" w:hAnsi="黑体" w:eastAsia="黑体" w:cs="仿宋_GB2312"/>
        </w:rPr>
        <w:sectPr>
          <w:footerReference r:id="rId5" w:type="first"/>
          <w:headerReference r:id="rId3" w:type="default"/>
          <w:footerReference r:id="rId4" w:type="default"/>
          <w:pgSz w:w="11906" w:h="16838"/>
          <w:pgMar w:top="2098" w:right="1587" w:bottom="1361" w:left="1587" w:header="851" w:footer="992" w:gutter="0"/>
          <w:pgNumType w:fmt="numberInDash" w:start="1"/>
          <w:cols w:space="720" w:num="1"/>
          <w:titlePg/>
          <w:docGrid w:type="lines" w:linePitch="315" w:charSpace="0"/>
        </w:sectPr>
      </w:pPr>
    </w:p>
    <w:p>
      <w:pPr>
        <w:spacing w:line="560" w:lineRule="exact"/>
        <w:rPr>
          <w:rFonts w:ascii="黑体" w:hAnsi="黑体" w:eastAsia="黑体" w:cs="仿宋_GB2312"/>
          <w:sz w:val="32"/>
          <w:szCs w:val="32"/>
        </w:rPr>
      </w:pPr>
      <w:r>
        <w:rPr>
          <w:rFonts w:hint="eastAsia" w:ascii="黑体" w:hAnsi="黑体" w:eastAsia="黑体" w:cs="仿宋_GB2312"/>
          <w:sz w:val="32"/>
          <w:szCs w:val="32"/>
        </w:rPr>
        <w:t>附件1</w:t>
      </w:r>
    </w:p>
    <w:p>
      <w:pPr>
        <w:pStyle w:val="2"/>
        <w:ind w:firstLine="0" w:firstLineChars="0"/>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2024年综合重点监督检查事项</w:t>
      </w:r>
    </w:p>
    <w:tbl>
      <w:tblPr>
        <w:tblStyle w:val="6"/>
        <w:tblW w:w="13748"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91"/>
        <w:gridCol w:w="4992"/>
        <w:gridCol w:w="7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7" w:hRule="atLeast"/>
          <w:tblHeader/>
        </w:trPr>
        <w:tc>
          <w:tcPr>
            <w:tcW w:w="791" w:type="dxa"/>
            <w:noWrap/>
            <w:vAlign w:val="center"/>
          </w:tcPr>
          <w:p>
            <w:pPr>
              <w:spacing w:line="320" w:lineRule="exact"/>
              <w:jc w:val="center"/>
              <w:textAlignment w:val="center"/>
              <w:rPr>
                <w:rFonts w:ascii="黑体" w:hAnsi="黑体" w:eastAsia="黑体" w:cs="黑体"/>
                <w:sz w:val="24"/>
              </w:rPr>
            </w:pPr>
            <w:r>
              <w:rPr>
                <w:rFonts w:hint="eastAsia" w:ascii="黑体" w:hAnsi="黑体" w:eastAsia="黑体" w:cs="黑体"/>
                <w:sz w:val="24"/>
              </w:rPr>
              <w:t>序号</w:t>
            </w:r>
          </w:p>
        </w:tc>
        <w:tc>
          <w:tcPr>
            <w:tcW w:w="4992" w:type="dxa"/>
            <w:noWrap/>
            <w:vAlign w:val="center"/>
          </w:tcPr>
          <w:p>
            <w:pPr>
              <w:spacing w:line="320" w:lineRule="exact"/>
              <w:jc w:val="center"/>
              <w:textAlignment w:val="center"/>
              <w:rPr>
                <w:rFonts w:ascii="黑体" w:hAnsi="黑体" w:eastAsia="黑体" w:cs="黑体"/>
                <w:sz w:val="24"/>
              </w:rPr>
            </w:pPr>
            <w:r>
              <w:rPr>
                <w:rFonts w:hint="eastAsia" w:ascii="黑体" w:hAnsi="黑体" w:eastAsia="黑体" w:cs="黑体"/>
                <w:sz w:val="24"/>
              </w:rPr>
              <w:t>重点检查事项</w:t>
            </w:r>
          </w:p>
        </w:tc>
        <w:tc>
          <w:tcPr>
            <w:tcW w:w="7965" w:type="dxa"/>
            <w:noWrap/>
            <w:vAlign w:val="center"/>
          </w:tcPr>
          <w:p>
            <w:pPr>
              <w:spacing w:line="320" w:lineRule="exact"/>
              <w:jc w:val="center"/>
              <w:textAlignment w:val="center"/>
              <w:rPr>
                <w:rFonts w:ascii="黑体" w:hAnsi="黑体" w:eastAsia="黑体" w:cs="黑体"/>
                <w:sz w:val="24"/>
              </w:rPr>
            </w:pPr>
            <w:r>
              <w:rPr>
                <w:rFonts w:hint="eastAsia" w:ascii="黑体" w:hAnsi="黑体" w:eastAsia="黑体" w:cs="黑体"/>
                <w:sz w:val="24"/>
              </w:rPr>
              <w:t>重点检查内容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15" w:hRule="atLeast"/>
        </w:trPr>
        <w:tc>
          <w:tcPr>
            <w:tcW w:w="791" w:type="dxa"/>
            <w:vMerge w:val="restart"/>
            <w:noWrap/>
            <w:vAlign w:val="center"/>
          </w:tcPr>
          <w:p>
            <w:pPr>
              <w:spacing w:line="320" w:lineRule="exact"/>
              <w:jc w:val="center"/>
              <w:textAlignment w:val="center"/>
              <w:rPr>
                <w:rFonts w:ascii="宋体" w:hAnsi="宋体" w:cs="宋体"/>
                <w:sz w:val="22"/>
                <w:szCs w:val="22"/>
              </w:rPr>
            </w:pPr>
            <w:r>
              <w:rPr>
                <w:rFonts w:hint="eastAsia" w:ascii="宋体" w:hAnsi="宋体" w:cs="宋体"/>
                <w:sz w:val="22"/>
                <w:szCs w:val="22"/>
              </w:rPr>
              <w:t>1</w:t>
            </w:r>
          </w:p>
        </w:tc>
        <w:tc>
          <w:tcPr>
            <w:tcW w:w="4992" w:type="dxa"/>
            <w:vMerge w:val="restart"/>
            <w:noWrap/>
            <w:vAlign w:val="center"/>
          </w:tcPr>
          <w:p>
            <w:pPr>
              <w:adjustRightInd w:val="0"/>
              <w:snapToGrid w:val="0"/>
              <w:rPr>
                <w:rFonts w:ascii="宋体" w:hAnsi="宋体" w:cs="宋体"/>
                <w:sz w:val="22"/>
                <w:szCs w:val="22"/>
              </w:rPr>
            </w:pPr>
            <w:r>
              <w:rPr>
                <w:rFonts w:hint="eastAsia" w:ascii="宋体" w:hAnsi="宋体" w:cs="宋体"/>
                <w:sz w:val="22"/>
                <w:szCs w:val="22"/>
              </w:rPr>
              <w:t>主要负责人、其他负责人、安全生产管理机构以及安全生产管理人员履行职责情况</w:t>
            </w: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1.1主要负责人履行对本单位安全生产工作法定职责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adjustRightInd w:val="0"/>
              <w:snapToGrid w:val="0"/>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1.2其他负责人履行对本单位安全生产工作法定职责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8"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adjustRightInd w:val="0"/>
              <w:snapToGrid w:val="0"/>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1.3安全生产管理机构以及安全生产管理人员履行对本单位安全生产工作法定职责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adjustRightInd w:val="0"/>
              <w:snapToGrid w:val="0"/>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1.4生产经营单位全员安全生产责任制落实情况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9" w:hRule="atLeast"/>
        </w:trPr>
        <w:tc>
          <w:tcPr>
            <w:tcW w:w="791" w:type="dxa"/>
            <w:vMerge w:val="restart"/>
            <w:noWrap/>
            <w:vAlign w:val="center"/>
          </w:tcPr>
          <w:p>
            <w:pPr>
              <w:spacing w:line="320" w:lineRule="exact"/>
              <w:jc w:val="center"/>
              <w:rPr>
                <w:rFonts w:ascii="宋体" w:hAnsi="宋体" w:cs="宋体"/>
                <w:sz w:val="22"/>
                <w:szCs w:val="22"/>
              </w:rPr>
            </w:pPr>
            <w:r>
              <w:rPr>
                <w:rFonts w:hint="eastAsia" w:ascii="宋体" w:hAnsi="宋体" w:cs="宋体"/>
                <w:sz w:val="22"/>
                <w:szCs w:val="22"/>
              </w:rPr>
              <w:t>2</w:t>
            </w:r>
          </w:p>
        </w:tc>
        <w:tc>
          <w:tcPr>
            <w:tcW w:w="4992" w:type="dxa"/>
            <w:vMerge w:val="restart"/>
            <w:noWrap/>
            <w:vAlign w:val="center"/>
          </w:tcPr>
          <w:p>
            <w:pPr>
              <w:adjustRightInd w:val="0"/>
              <w:snapToGrid w:val="0"/>
              <w:rPr>
                <w:rFonts w:ascii="宋体" w:hAnsi="宋体" w:cs="宋体"/>
                <w:sz w:val="22"/>
                <w:szCs w:val="22"/>
              </w:rPr>
            </w:pPr>
            <w:r>
              <w:rPr>
                <w:rFonts w:hint="eastAsia" w:ascii="宋体" w:hAnsi="宋体" w:cs="宋体"/>
                <w:sz w:val="22"/>
                <w:szCs w:val="22"/>
              </w:rPr>
              <w:t>安全投入保障情况</w:t>
            </w: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生产经营单位按照规定提取和使用安全生产费用情况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37" w:hRule="atLeast"/>
        </w:trPr>
        <w:tc>
          <w:tcPr>
            <w:tcW w:w="791" w:type="dxa"/>
            <w:vMerge w:val="restart"/>
            <w:noWrap/>
            <w:vAlign w:val="center"/>
          </w:tcPr>
          <w:p>
            <w:pPr>
              <w:spacing w:line="320" w:lineRule="exact"/>
              <w:jc w:val="center"/>
              <w:rPr>
                <w:rFonts w:ascii="宋体" w:hAnsi="宋体" w:cs="宋体"/>
                <w:sz w:val="22"/>
                <w:szCs w:val="22"/>
              </w:rPr>
            </w:pPr>
            <w:r>
              <w:rPr>
                <w:rFonts w:hint="eastAsia" w:ascii="宋体" w:hAnsi="宋体" w:cs="宋体"/>
                <w:sz w:val="22"/>
                <w:szCs w:val="22"/>
              </w:rPr>
              <w:t>3</w:t>
            </w:r>
          </w:p>
        </w:tc>
        <w:tc>
          <w:tcPr>
            <w:tcW w:w="4992" w:type="dxa"/>
            <w:vMerge w:val="restart"/>
            <w:noWrap/>
            <w:vAlign w:val="center"/>
          </w:tcPr>
          <w:p>
            <w:pPr>
              <w:adjustRightInd w:val="0"/>
              <w:snapToGrid w:val="0"/>
              <w:rPr>
                <w:rFonts w:ascii="宋体" w:hAnsi="宋体" w:cs="宋体"/>
                <w:sz w:val="22"/>
                <w:szCs w:val="22"/>
              </w:rPr>
            </w:pPr>
            <w:r>
              <w:rPr>
                <w:rFonts w:hint="eastAsia" w:ascii="宋体" w:hAnsi="宋体" w:cs="宋体"/>
                <w:sz w:val="22"/>
                <w:szCs w:val="22"/>
              </w:rPr>
              <w:t>安全生产管理机构人员设置配备及规章制度制定与执行情况</w:t>
            </w: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3.1矿山、金属冶炼、建筑施工、运输单位和危险物品的生产、经营、储存、装卸单位设置机构或配备专职人员；其他生产经营单位设置机构或配备专兼职人员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adjustRightInd w:val="0"/>
              <w:snapToGrid w:val="0"/>
              <w:spacing w:line="300" w:lineRule="exact"/>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3.2生产、经营、运输、储存、使用危险物品或者处置废弃危险物品单位，建立专门的安全管理制度，采取可靠的安全措施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13" w:hRule="atLeast"/>
        </w:trPr>
        <w:tc>
          <w:tcPr>
            <w:tcW w:w="791" w:type="dxa"/>
            <w:vMerge w:val="restart"/>
            <w:noWrap/>
            <w:vAlign w:val="center"/>
          </w:tcPr>
          <w:p>
            <w:pPr>
              <w:spacing w:line="320" w:lineRule="exact"/>
              <w:jc w:val="center"/>
              <w:rPr>
                <w:rFonts w:ascii="宋体" w:hAnsi="宋体" w:cs="宋体"/>
                <w:sz w:val="22"/>
                <w:szCs w:val="22"/>
              </w:rPr>
            </w:pPr>
            <w:r>
              <w:rPr>
                <w:rFonts w:hint="eastAsia" w:ascii="宋体" w:hAnsi="宋体" w:cs="宋体"/>
                <w:sz w:val="22"/>
                <w:szCs w:val="22"/>
              </w:rPr>
              <w:t>4</w:t>
            </w:r>
          </w:p>
        </w:tc>
        <w:tc>
          <w:tcPr>
            <w:tcW w:w="4992" w:type="dxa"/>
            <w:vMerge w:val="restart"/>
            <w:noWrap/>
            <w:vAlign w:val="center"/>
          </w:tcPr>
          <w:p>
            <w:pPr>
              <w:adjustRightInd w:val="0"/>
              <w:snapToGrid w:val="0"/>
              <w:rPr>
                <w:rFonts w:ascii="宋体" w:hAnsi="宋体" w:cs="宋体"/>
                <w:sz w:val="22"/>
                <w:szCs w:val="22"/>
              </w:rPr>
            </w:pPr>
            <w:r>
              <w:rPr>
                <w:rFonts w:hint="eastAsia" w:ascii="宋体" w:hAnsi="宋体" w:cs="宋体"/>
                <w:sz w:val="22"/>
                <w:szCs w:val="22"/>
              </w:rPr>
              <w:t>安全生产教育和培训落实情况</w:t>
            </w: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4.1主要负责人和安全管理人员安全生产知识和管理能力及考核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adjustRightInd w:val="0"/>
              <w:snapToGrid w:val="0"/>
              <w:spacing w:line="300" w:lineRule="exact"/>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4.2从业人员、被派遣劳动者、实习学生安全生产教育培训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adjustRightInd w:val="0"/>
              <w:snapToGrid w:val="0"/>
              <w:spacing w:line="300" w:lineRule="exact"/>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4.3从业人员“四新”培训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1"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adjustRightInd w:val="0"/>
              <w:snapToGrid w:val="0"/>
              <w:spacing w:line="300" w:lineRule="exact"/>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4.4培训时间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adjustRightInd w:val="0"/>
              <w:snapToGrid w:val="0"/>
              <w:spacing w:line="300" w:lineRule="exact"/>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4.5告知从业人员安全生产事项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adjustRightInd w:val="0"/>
              <w:snapToGrid w:val="0"/>
              <w:spacing w:line="300" w:lineRule="exact"/>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4.6危险物品的生产、储存、装卸单位以及矿山、金属冶炼单位配备注册安全工程师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restart"/>
            <w:noWrap/>
            <w:vAlign w:val="center"/>
          </w:tcPr>
          <w:p>
            <w:pPr>
              <w:spacing w:line="320" w:lineRule="exact"/>
              <w:jc w:val="center"/>
              <w:rPr>
                <w:rFonts w:ascii="宋体" w:hAnsi="宋体" w:cs="宋体"/>
                <w:sz w:val="22"/>
                <w:szCs w:val="22"/>
              </w:rPr>
            </w:pPr>
            <w:r>
              <w:rPr>
                <w:rFonts w:hint="eastAsia" w:ascii="宋体" w:hAnsi="宋体" w:cs="宋体"/>
                <w:sz w:val="22"/>
                <w:szCs w:val="22"/>
              </w:rPr>
              <w:t>5</w:t>
            </w:r>
          </w:p>
        </w:tc>
        <w:tc>
          <w:tcPr>
            <w:tcW w:w="4992" w:type="dxa"/>
            <w:vMerge w:val="restart"/>
            <w:noWrap/>
            <w:vAlign w:val="center"/>
          </w:tcPr>
          <w:p>
            <w:pPr>
              <w:adjustRightInd w:val="0"/>
              <w:snapToGrid w:val="0"/>
              <w:rPr>
                <w:rFonts w:ascii="宋体" w:hAnsi="宋体" w:cs="宋体"/>
                <w:sz w:val="22"/>
                <w:szCs w:val="22"/>
              </w:rPr>
            </w:pPr>
            <w:r>
              <w:rPr>
                <w:rFonts w:hint="eastAsia" w:ascii="宋体" w:hAnsi="宋体" w:cs="宋体"/>
                <w:sz w:val="22"/>
                <w:szCs w:val="22"/>
              </w:rPr>
              <w:t>特种作业人员持证上岗情况</w:t>
            </w: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5.1特种作业人员培训取证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8"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adjustRightInd w:val="0"/>
              <w:snapToGrid w:val="0"/>
              <w:spacing w:line="300" w:lineRule="exact"/>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5.2特种作业人员证书真实性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restart"/>
            <w:noWrap/>
            <w:vAlign w:val="center"/>
          </w:tcPr>
          <w:p>
            <w:pPr>
              <w:spacing w:line="320" w:lineRule="exact"/>
              <w:jc w:val="center"/>
              <w:rPr>
                <w:rFonts w:ascii="宋体" w:hAnsi="宋体" w:cs="宋体"/>
                <w:sz w:val="22"/>
                <w:szCs w:val="22"/>
              </w:rPr>
            </w:pPr>
            <w:r>
              <w:rPr>
                <w:rFonts w:hint="eastAsia" w:ascii="宋体" w:hAnsi="宋体" w:cs="宋体"/>
                <w:sz w:val="22"/>
                <w:szCs w:val="22"/>
              </w:rPr>
              <w:t>6</w:t>
            </w:r>
          </w:p>
        </w:tc>
        <w:tc>
          <w:tcPr>
            <w:tcW w:w="4992" w:type="dxa"/>
            <w:vMerge w:val="restart"/>
            <w:noWrap/>
            <w:vAlign w:val="center"/>
          </w:tcPr>
          <w:p>
            <w:pPr>
              <w:adjustRightInd w:val="0"/>
              <w:snapToGrid w:val="0"/>
              <w:rPr>
                <w:rFonts w:ascii="宋体" w:hAnsi="宋体" w:cs="宋体"/>
                <w:sz w:val="22"/>
                <w:szCs w:val="22"/>
              </w:rPr>
            </w:pPr>
            <w:r>
              <w:rPr>
                <w:rFonts w:hint="eastAsia" w:ascii="宋体" w:hAnsi="宋体" w:cs="宋体"/>
                <w:sz w:val="22"/>
                <w:szCs w:val="22"/>
              </w:rPr>
              <w:t>建设项目安全评价及建设项目安全设施“三同时”情况</w:t>
            </w: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6.1高危建设项目安全评价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9"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adjustRightInd w:val="0"/>
              <w:snapToGrid w:val="0"/>
              <w:spacing w:line="320" w:lineRule="exact"/>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6.2高危建设项目安全设施设计审查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continue"/>
            <w:noWrap/>
            <w:vAlign w:val="center"/>
          </w:tcPr>
          <w:p>
            <w:pPr>
              <w:spacing w:line="320" w:lineRule="exact"/>
              <w:jc w:val="center"/>
              <w:rPr>
                <w:rFonts w:ascii="宋体" w:hAnsi="宋体" w:cs="宋体"/>
                <w:sz w:val="22"/>
                <w:szCs w:val="22"/>
                <w:highlight w:val="yellow"/>
              </w:rPr>
            </w:pPr>
          </w:p>
        </w:tc>
        <w:tc>
          <w:tcPr>
            <w:tcW w:w="4992" w:type="dxa"/>
            <w:vMerge w:val="continue"/>
            <w:noWrap/>
            <w:vAlign w:val="center"/>
          </w:tcPr>
          <w:p>
            <w:pPr>
              <w:spacing w:line="320" w:lineRule="exact"/>
              <w:jc w:val="left"/>
              <w:textAlignment w:val="center"/>
              <w:rPr>
                <w:rFonts w:ascii="宋体" w:hAnsi="宋体" w:cs="宋体"/>
                <w:sz w:val="22"/>
                <w:szCs w:val="22"/>
                <w:highlight w:val="yellow"/>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6.3高危建设项目安全设施设计重新审查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spacing w:line="320" w:lineRule="exact"/>
              <w:jc w:val="left"/>
              <w:textAlignment w:val="center"/>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6.4高危建设项目安全设施按照批准的设计施工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spacing w:line="320" w:lineRule="exact"/>
              <w:jc w:val="left"/>
              <w:textAlignment w:val="center"/>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6.5高危建设项目安全设施竣工验收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spacing w:line="320" w:lineRule="exact"/>
              <w:jc w:val="left"/>
              <w:textAlignment w:val="center"/>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6.6其他建设项目安全设施“三同时”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noWrap/>
            <w:vAlign w:val="center"/>
          </w:tcPr>
          <w:p>
            <w:pPr>
              <w:spacing w:line="320" w:lineRule="exact"/>
              <w:jc w:val="center"/>
              <w:rPr>
                <w:rFonts w:ascii="宋体" w:hAnsi="宋体" w:cs="宋体"/>
                <w:sz w:val="22"/>
                <w:szCs w:val="22"/>
              </w:rPr>
            </w:pPr>
            <w:r>
              <w:rPr>
                <w:rFonts w:hint="eastAsia" w:ascii="宋体" w:hAnsi="宋体" w:cs="宋体"/>
                <w:sz w:val="22"/>
                <w:szCs w:val="22"/>
              </w:rPr>
              <w:t>7</w:t>
            </w:r>
          </w:p>
        </w:tc>
        <w:tc>
          <w:tcPr>
            <w:tcW w:w="4992" w:type="dxa"/>
            <w:noWrap/>
            <w:vAlign w:val="center"/>
          </w:tcPr>
          <w:p>
            <w:pPr>
              <w:adjustRightInd w:val="0"/>
              <w:snapToGrid w:val="0"/>
              <w:rPr>
                <w:rFonts w:ascii="宋体" w:hAnsi="宋体" w:cs="宋体"/>
                <w:sz w:val="22"/>
                <w:szCs w:val="22"/>
              </w:rPr>
            </w:pPr>
            <w:r>
              <w:rPr>
                <w:rFonts w:hint="eastAsia" w:ascii="宋体" w:hAnsi="宋体" w:cs="宋体"/>
                <w:sz w:val="22"/>
                <w:szCs w:val="22"/>
              </w:rPr>
              <w:t>安全警示标志情况</w:t>
            </w: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在有较大危险因素的场所和有关设施、设备上设置安全警示标志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restart"/>
            <w:noWrap/>
            <w:vAlign w:val="center"/>
          </w:tcPr>
          <w:p>
            <w:pPr>
              <w:spacing w:line="320" w:lineRule="exact"/>
              <w:jc w:val="center"/>
              <w:rPr>
                <w:rFonts w:ascii="宋体" w:hAnsi="宋体" w:cs="宋体"/>
                <w:sz w:val="22"/>
                <w:szCs w:val="22"/>
              </w:rPr>
            </w:pPr>
            <w:r>
              <w:rPr>
                <w:rFonts w:hint="eastAsia" w:ascii="宋体" w:hAnsi="宋体" w:cs="宋体"/>
                <w:sz w:val="22"/>
                <w:szCs w:val="22"/>
              </w:rPr>
              <w:t>8</w:t>
            </w:r>
          </w:p>
        </w:tc>
        <w:tc>
          <w:tcPr>
            <w:tcW w:w="4992" w:type="dxa"/>
            <w:vMerge w:val="restart"/>
            <w:noWrap/>
            <w:vAlign w:val="center"/>
          </w:tcPr>
          <w:p>
            <w:pPr>
              <w:adjustRightInd w:val="0"/>
              <w:snapToGrid w:val="0"/>
              <w:rPr>
                <w:rFonts w:ascii="宋体" w:hAnsi="宋体" w:cs="宋体"/>
                <w:sz w:val="22"/>
                <w:szCs w:val="22"/>
              </w:rPr>
            </w:pPr>
            <w:r>
              <w:rPr>
                <w:rFonts w:hint="eastAsia" w:ascii="宋体" w:hAnsi="宋体" w:cs="宋体"/>
                <w:sz w:val="22"/>
                <w:szCs w:val="22"/>
              </w:rPr>
              <w:t>安全设备设施管理情况</w:t>
            </w: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8.1安全设备安装、使用、报废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spacing w:line="320" w:lineRule="exact"/>
              <w:jc w:val="left"/>
              <w:textAlignment w:val="center"/>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8.2安全设备维护、保养、检测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trPr>
        <w:tc>
          <w:tcPr>
            <w:tcW w:w="791" w:type="dxa"/>
            <w:noWrap/>
            <w:vAlign w:val="center"/>
          </w:tcPr>
          <w:p>
            <w:pPr>
              <w:spacing w:line="320" w:lineRule="exact"/>
              <w:jc w:val="center"/>
              <w:rPr>
                <w:rFonts w:ascii="宋体" w:hAnsi="宋体" w:cs="宋体"/>
                <w:sz w:val="22"/>
                <w:szCs w:val="22"/>
              </w:rPr>
            </w:pPr>
            <w:r>
              <w:rPr>
                <w:rFonts w:hint="eastAsia" w:ascii="宋体" w:hAnsi="宋体" w:cs="宋体"/>
                <w:sz w:val="22"/>
                <w:szCs w:val="22"/>
              </w:rPr>
              <w:t>9</w:t>
            </w:r>
          </w:p>
        </w:tc>
        <w:tc>
          <w:tcPr>
            <w:tcW w:w="4992" w:type="dxa"/>
            <w:noWrap/>
            <w:vAlign w:val="center"/>
          </w:tcPr>
          <w:p>
            <w:pPr>
              <w:adjustRightInd w:val="0"/>
              <w:snapToGrid w:val="0"/>
              <w:rPr>
                <w:rFonts w:ascii="宋体" w:hAnsi="宋体" w:cs="宋体"/>
                <w:sz w:val="22"/>
                <w:szCs w:val="22"/>
              </w:rPr>
            </w:pPr>
            <w:r>
              <w:rPr>
                <w:rFonts w:hint="eastAsia" w:ascii="宋体" w:hAnsi="宋体" w:cs="宋体"/>
                <w:sz w:val="22"/>
                <w:szCs w:val="22"/>
              </w:rPr>
              <w:t>重大危险源安全管理情况</w:t>
            </w: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重大危险源登记建档，定期检测、评估、监控，制定应急预案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restart"/>
            <w:noWrap/>
            <w:vAlign w:val="center"/>
          </w:tcPr>
          <w:p>
            <w:pPr>
              <w:spacing w:line="320" w:lineRule="exact"/>
              <w:jc w:val="center"/>
              <w:rPr>
                <w:rFonts w:ascii="宋体" w:hAnsi="宋体" w:cs="宋体"/>
                <w:sz w:val="22"/>
                <w:szCs w:val="22"/>
              </w:rPr>
            </w:pPr>
            <w:r>
              <w:rPr>
                <w:rFonts w:hint="eastAsia" w:ascii="宋体" w:hAnsi="宋体" w:cs="宋体"/>
                <w:sz w:val="22"/>
                <w:szCs w:val="22"/>
              </w:rPr>
              <w:t>10</w:t>
            </w:r>
          </w:p>
        </w:tc>
        <w:tc>
          <w:tcPr>
            <w:tcW w:w="4992" w:type="dxa"/>
            <w:vMerge w:val="restart"/>
            <w:noWrap/>
            <w:vAlign w:val="center"/>
          </w:tcPr>
          <w:p>
            <w:pPr>
              <w:adjustRightInd w:val="0"/>
              <w:snapToGrid w:val="0"/>
              <w:rPr>
                <w:rFonts w:ascii="宋体" w:hAnsi="宋体" w:cs="宋体"/>
                <w:sz w:val="22"/>
                <w:szCs w:val="22"/>
              </w:rPr>
            </w:pPr>
            <w:r>
              <w:rPr>
                <w:rFonts w:hint="eastAsia" w:ascii="宋体" w:hAnsi="宋体" w:cs="宋体"/>
                <w:sz w:val="22"/>
                <w:szCs w:val="22"/>
              </w:rPr>
              <w:t>事故隐患排查治理情况</w:t>
            </w: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10.1建立健全生产安全事故隐患排查治理制度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spacing w:line="320" w:lineRule="exact"/>
              <w:jc w:val="left"/>
              <w:textAlignment w:val="center"/>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10.2采取措施消除事故隐患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spacing w:line="320" w:lineRule="exact"/>
              <w:jc w:val="left"/>
              <w:textAlignment w:val="center"/>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10.3如实记录事故隐患排查治理情况并向从业人员通报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spacing w:line="320" w:lineRule="exact"/>
              <w:jc w:val="left"/>
              <w:textAlignment w:val="center"/>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10.4重大事故隐患报告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spacing w:line="320" w:lineRule="exact"/>
              <w:jc w:val="left"/>
              <w:textAlignment w:val="center"/>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10.5重大事故隐患整改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restart"/>
            <w:noWrap/>
            <w:vAlign w:val="center"/>
          </w:tcPr>
          <w:p>
            <w:pPr>
              <w:spacing w:line="320" w:lineRule="exact"/>
              <w:jc w:val="center"/>
              <w:rPr>
                <w:rFonts w:ascii="宋体" w:hAnsi="宋体" w:cs="宋体"/>
                <w:sz w:val="22"/>
                <w:szCs w:val="22"/>
              </w:rPr>
            </w:pPr>
            <w:r>
              <w:rPr>
                <w:rFonts w:hint="eastAsia" w:ascii="宋体" w:hAnsi="宋体" w:cs="宋体"/>
                <w:sz w:val="22"/>
                <w:szCs w:val="22"/>
              </w:rPr>
              <w:t>11</w:t>
            </w:r>
          </w:p>
        </w:tc>
        <w:tc>
          <w:tcPr>
            <w:tcW w:w="4992" w:type="dxa"/>
            <w:vMerge w:val="restart"/>
            <w:noWrap/>
            <w:vAlign w:val="center"/>
          </w:tcPr>
          <w:p>
            <w:pPr>
              <w:adjustRightInd w:val="0"/>
              <w:snapToGrid w:val="0"/>
              <w:rPr>
                <w:rFonts w:ascii="宋体" w:hAnsi="宋体" w:cs="宋体"/>
                <w:sz w:val="22"/>
                <w:szCs w:val="22"/>
              </w:rPr>
            </w:pPr>
            <w:r>
              <w:rPr>
                <w:rFonts w:hint="eastAsia" w:ascii="宋体" w:hAnsi="宋体" w:cs="宋体"/>
                <w:sz w:val="22"/>
                <w:szCs w:val="22"/>
              </w:rPr>
              <w:t>危险场所与员工宿舍安全距离及安全出口管理情况</w:t>
            </w: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11.1危险物品场所与员工宿舍不在同一建筑物且保持安全距离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spacing w:line="320" w:lineRule="exact"/>
              <w:jc w:val="left"/>
              <w:textAlignment w:val="center"/>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11.2生产经营场所和员工宿舍安全出口符合疏散要求，禁止锁闭、封堵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noWrap/>
            <w:vAlign w:val="center"/>
          </w:tcPr>
          <w:p>
            <w:pPr>
              <w:spacing w:line="320" w:lineRule="exact"/>
              <w:jc w:val="center"/>
              <w:rPr>
                <w:rFonts w:ascii="宋体" w:hAnsi="宋体" w:cs="宋体"/>
                <w:sz w:val="22"/>
                <w:szCs w:val="22"/>
              </w:rPr>
            </w:pPr>
            <w:r>
              <w:rPr>
                <w:rFonts w:hint="eastAsia" w:ascii="宋体" w:hAnsi="宋体" w:cs="宋体"/>
                <w:sz w:val="22"/>
                <w:szCs w:val="22"/>
              </w:rPr>
              <w:t>12</w:t>
            </w:r>
          </w:p>
        </w:tc>
        <w:tc>
          <w:tcPr>
            <w:tcW w:w="4992" w:type="dxa"/>
            <w:noWrap/>
            <w:vAlign w:val="center"/>
          </w:tcPr>
          <w:p>
            <w:pPr>
              <w:adjustRightInd w:val="0"/>
              <w:snapToGrid w:val="0"/>
              <w:rPr>
                <w:rFonts w:ascii="宋体" w:hAnsi="宋体" w:cs="宋体"/>
                <w:sz w:val="22"/>
                <w:szCs w:val="22"/>
              </w:rPr>
            </w:pPr>
            <w:r>
              <w:rPr>
                <w:rFonts w:hint="eastAsia" w:ascii="宋体" w:hAnsi="宋体" w:cs="宋体"/>
                <w:sz w:val="22"/>
                <w:szCs w:val="22"/>
              </w:rPr>
              <w:t>危险作业安全管理情况</w:t>
            </w: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爆破、吊装以及国务院有关部门规定的其他危险作业安全管理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noWrap/>
            <w:vAlign w:val="center"/>
          </w:tcPr>
          <w:p>
            <w:pPr>
              <w:spacing w:line="320" w:lineRule="exact"/>
              <w:jc w:val="center"/>
              <w:rPr>
                <w:rFonts w:ascii="宋体" w:hAnsi="宋体" w:cs="宋体"/>
                <w:sz w:val="22"/>
                <w:szCs w:val="22"/>
              </w:rPr>
            </w:pPr>
            <w:r>
              <w:rPr>
                <w:rFonts w:hint="eastAsia" w:ascii="宋体" w:hAnsi="宋体" w:cs="宋体"/>
                <w:sz w:val="22"/>
                <w:szCs w:val="22"/>
              </w:rPr>
              <w:t>13</w:t>
            </w:r>
          </w:p>
        </w:tc>
        <w:tc>
          <w:tcPr>
            <w:tcW w:w="4992" w:type="dxa"/>
            <w:noWrap/>
            <w:vAlign w:val="center"/>
          </w:tcPr>
          <w:p>
            <w:pPr>
              <w:adjustRightInd w:val="0"/>
              <w:snapToGrid w:val="0"/>
              <w:rPr>
                <w:rFonts w:ascii="宋体" w:hAnsi="宋体" w:cs="宋体"/>
                <w:sz w:val="22"/>
                <w:szCs w:val="22"/>
              </w:rPr>
            </w:pPr>
            <w:r>
              <w:rPr>
                <w:rFonts w:hint="eastAsia" w:ascii="宋体" w:hAnsi="宋体" w:cs="宋体"/>
                <w:sz w:val="22"/>
                <w:szCs w:val="22"/>
              </w:rPr>
              <w:t>劳动防护用品管理情况</w:t>
            </w: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提供符合国家标准、行业标准的劳动防护用品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trPr>
        <w:tc>
          <w:tcPr>
            <w:tcW w:w="791" w:type="dxa"/>
            <w:vMerge w:val="restart"/>
            <w:noWrap/>
            <w:vAlign w:val="center"/>
          </w:tcPr>
          <w:p>
            <w:pPr>
              <w:spacing w:line="320" w:lineRule="exact"/>
              <w:jc w:val="center"/>
              <w:rPr>
                <w:rFonts w:ascii="宋体" w:hAnsi="宋体" w:cs="宋体"/>
                <w:sz w:val="22"/>
                <w:szCs w:val="22"/>
              </w:rPr>
            </w:pPr>
            <w:r>
              <w:rPr>
                <w:rFonts w:hint="eastAsia" w:ascii="宋体" w:hAnsi="宋体" w:cs="宋体"/>
                <w:sz w:val="22"/>
                <w:szCs w:val="22"/>
              </w:rPr>
              <w:t>14</w:t>
            </w:r>
          </w:p>
        </w:tc>
        <w:tc>
          <w:tcPr>
            <w:tcW w:w="4992" w:type="dxa"/>
            <w:vMerge w:val="restart"/>
            <w:noWrap/>
            <w:vAlign w:val="center"/>
          </w:tcPr>
          <w:p>
            <w:pPr>
              <w:adjustRightInd w:val="0"/>
              <w:snapToGrid w:val="0"/>
              <w:rPr>
                <w:rFonts w:ascii="宋体" w:hAnsi="宋体" w:cs="宋体"/>
                <w:sz w:val="22"/>
                <w:szCs w:val="22"/>
              </w:rPr>
            </w:pPr>
            <w:r>
              <w:rPr>
                <w:rFonts w:hint="eastAsia" w:ascii="宋体" w:hAnsi="宋体" w:cs="宋体"/>
                <w:sz w:val="22"/>
                <w:szCs w:val="22"/>
              </w:rPr>
              <w:t>生产经营项目、场所、设备发包、出租管理情况</w:t>
            </w: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14.1出租给具备条件或者资质的单位或者个人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vMerge w:val="continue"/>
            <w:noWrap/>
            <w:vAlign w:val="center"/>
          </w:tcPr>
          <w:p>
            <w:pPr>
              <w:spacing w:line="320" w:lineRule="exact"/>
              <w:jc w:val="center"/>
              <w:rPr>
                <w:rFonts w:ascii="宋体" w:hAnsi="宋体" w:cs="宋体"/>
                <w:sz w:val="22"/>
                <w:szCs w:val="22"/>
              </w:rPr>
            </w:pPr>
          </w:p>
        </w:tc>
        <w:tc>
          <w:tcPr>
            <w:tcW w:w="4992" w:type="dxa"/>
            <w:vMerge w:val="continue"/>
            <w:noWrap/>
            <w:vAlign w:val="center"/>
          </w:tcPr>
          <w:p>
            <w:pPr>
              <w:spacing w:line="320" w:lineRule="exact"/>
              <w:jc w:val="left"/>
              <w:textAlignment w:val="center"/>
              <w:rPr>
                <w:rFonts w:ascii="宋体" w:hAnsi="宋体" w:cs="宋体"/>
                <w:sz w:val="22"/>
                <w:szCs w:val="22"/>
              </w:rPr>
            </w:pPr>
          </w:p>
        </w:tc>
        <w:tc>
          <w:tcPr>
            <w:tcW w:w="7965" w:type="dxa"/>
            <w:noWrap/>
            <w:vAlign w:val="center"/>
          </w:tcPr>
          <w:p>
            <w:pPr>
              <w:adjustRightInd w:val="0"/>
              <w:snapToGrid w:val="0"/>
              <w:rPr>
                <w:rFonts w:ascii="宋体" w:hAnsi="宋体" w:cs="宋体"/>
                <w:sz w:val="22"/>
                <w:szCs w:val="22"/>
              </w:rPr>
            </w:pPr>
            <w:r>
              <w:rPr>
                <w:rFonts w:hint="eastAsia" w:ascii="宋体" w:hAnsi="宋体" w:cs="宋体"/>
                <w:sz w:val="22"/>
                <w:szCs w:val="22"/>
              </w:rPr>
              <w:t>14.2安全管理协议和发包方统一协调管理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noWrap/>
            <w:vAlign w:val="center"/>
          </w:tcPr>
          <w:p>
            <w:pPr>
              <w:spacing w:line="320" w:lineRule="exact"/>
              <w:jc w:val="center"/>
              <w:rPr>
                <w:rFonts w:ascii="宋体" w:hAnsi="宋体" w:cs="宋体"/>
                <w:sz w:val="22"/>
                <w:szCs w:val="22"/>
              </w:rPr>
            </w:pPr>
            <w:r>
              <w:rPr>
                <w:rFonts w:hint="eastAsia" w:ascii="宋体" w:hAnsi="宋体" w:cs="宋体"/>
                <w:sz w:val="22"/>
                <w:szCs w:val="22"/>
              </w:rPr>
              <w:t>15</w:t>
            </w:r>
          </w:p>
        </w:tc>
        <w:tc>
          <w:tcPr>
            <w:tcW w:w="4992" w:type="dxa"/>
            <w:noWrap/>
            <w:vAlign w:val="center"/>
          </w:tcPr>
          <w:p>
            <w:pPr>
              <w:adjustRightInd w:val="0"/>
              <w:snapToGrid w:val="0"/>
              <w:spacing w:line="320" w:lineRule="exact"/>
              <w:rPr>
                <w:rFonts w:ascii="宋体" w:hAnsi="宋体" w:cs="宋体"/>
                <w:sz w:val="22"/>
                <w:szCs w:val="22"/>
              </w:rPr>
            </w:pPr>
            <w:r>
              <w:rPr>
                <w:rFonts w:hint="eastAsia" w:ascii="宋体" w:hAnsi="宋体" w:cs="宋体"/>
                <w:sz w:val="22"/>
                <w:szCs w:val="22"/>
              </w:rPr>
              <w:t>安全生产责任保险投保情况</w:t>
            </w:r>
          </w:p>
        </w:tc>
        <w:tc>
          <w:tcPr>
            <w:tcW w:w="7965" w:type="dxa"/>
            <w:noWrap/>
            <w:vAlign w:val="center"/>
          </w:tcPr>
          <w:p>
            <w:pPr>
              <w:adjustRightInd w:val="0"/>
              <w:snapToGrid w:val="0"/>
              <w:spacing w:line="320" w:lineRule="exact"/>
              <w:rPr>
                <w:rFonts w:ascii="宋体" w:hAnsi="宋体" w:cs="宋体"/>
                <w:sz w:val="22"/>
                <w:szCs w:val="22"/>
              </w:rPr>
            </w:pPr>
            <w:r>
              <w:rPr>
                <w:rFonts w:hint="eastAsia" w:ascii="宋体" w:hAnsi="宋体" w:cs="宋体"/>
                <w:sz w:val="22"/>
                <w:szCs w:val="22"/>
              </w:rPr>
              <w:t>按照国家规定投保安全生产责任保险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6" w:hRule="atLeast"/>
        </w:trPr>
        <w:tc>
          <w:tcPr>
            <w:tcW w:w="791" w:type="dxa"/>
            <w:noWrap/>
            <w:vAlign w:val="center"/>
          </w:tcPr>
          <w:p>
            <w:pPr>
              <w:spacing w:line="320" w:lineRule="exact"/>
              <w:jc w:val="center"/>
              <w:rPr>
                <w:rFonts w:ascii="宋体" w:hAnsi="宋体" w:cs="宋体"/>
                <w:sz w:val="22"/>
                <w:szCs w:val="22"/>
              </w:rPr>
            </w:pPr>
            <w:r>
              <w:rPr>
                <w:rFonts w:hint="eastAsia" w:ascii="宋体" w:hAnsi="宋体" w:cs="宋体"/>
                <w:sz w:val="22"/>
                <w:szCs w:val="22"/>
              </w:rPr>
              <w:t>16</w:t>
            </w:r>
          </w:p>
        </w:tc>
        <w:tc>
          <w:tcPr>
            <w:tcW w:w="4992" w:type="dxa"/>
            <w:noWrap/>
            <w:vAlign w:val="center"/>
          </w:tcPr>
          <w:p>
            <w:pPr>
              <w:adjustRightInd w:val="0"/>
              <w:snapToGrid w:val="0"/>
              <w:spacing w:line="320" w:lineRule="exact"/>
              <w:rPr>
                <w:rFonts w:hint="eastAsia" w:ascii="宋体" w:hAnsi="宋体" w:cs="宋体"/>
                <w:sz w:val="22"/>
                <w:szCs w:val="22"/>
              </w:rPr>
            </w:pPr>
            <w:r>
              <w:rPr>
                <w:rFonts w:hint="eastAsia" w:ascii="宋体" w:hAnsi="宋体" w:cs="宋体"/>
                <w:sz w:val="22"/>
                <w:szCs w:val="22"/>
              </w:rPr>
              <w:t>依法应当监督检查的其他情况.</w:t>
            </w:r>
          </w:p>
        </w:tc>
        <w:tc>
          <w:tcPr>
            <w:tcW w:w="7965" w:type="dxa"/>
            <w:noWrap/>
            <w:vAlign w:val="center"/>
          </w:tcPr>
          <w:p>
            <w:pPr>
              <w:adjustRightInd w:val="0"/>
              <w:snapToGrid w:val="0"/>
              <w:spacing w:line="320" w:lineRule="exact"/>
              <w:rPr>
                <w:rFonts w:hint="eastAsia" w:ascii="宋体" w:hAnsi="宋体" w:cs="宋体"/>
                <w:sz w:val="22"/>
                <w:szCs w:val="22"/>
              </w:rPr>
            </w:pPr>
            <w:r>
              <w:rPr>
                <w:rFonts w:hint="eastAsia" w:ascii="宋体" w:hAnsi="宋体" w:cs="宋体"/>
                <w:sz w:val="22"/>
                <w:szCs w:val="22"/>
              </w:rPr>
              <w:t>按照法律法规等应当监督检查的其他情况</w:t>
            </w:r>
          </w:p>
        </w:tc>
      </w:tr>
    </w:tbl>
    <w:p>
      <w:pPr>
        <w:pStyle w:val="2"/>
        <w:ind w:firstLine="420"/>
      </w:pPr>
    </w:p>
    <w:p>
      <w:pPr>
        <w:pStyle w:val="2"/>
        <w:ind w:firstLine="420"/>
      </w:pPr>
    </w:p>
    <w:p>
      <w:pPr>
        <w:pStyle w:val="2"/>
        <w:ind w:firstLine="420"/>
        <w:rPr>
          <w:rFonts w:ascii="仿宋_GB2312" w:hAnsi="仿宋_GB2312" w:cs="仿宋_GB2312"/>
        </w:rPr>
      </w:pPr>
    </w:p>
    <w:p>
      <w:pPr>
        <w:rPr>
          <w:rFonts w:ascii="仿宋_GB2312" w:hAnsi="仿宋_GB2312" w:eastAsia="仿宋_GB2312" w:cs="仿宋_GB2312"/>
        </w:rPr>
      </w:pPr>
    </w:p>
    <w:p>
      <w:pPr>
        <w:pStyle w:val="2"/>
        <w:ind w:firstLine="420"/>
      </w:pPr>
    </w:p>
    <w:p>
      <w:pPr>
        <w:pStyle w:val="2"/>
        <w:ind w:firstLine="420"/>
        <w:rPr>
          <w:rFonts w:ascii="仿宋_GB2312" w:hAnsi="仿宋_GB2312" w:cs="仿宋_GB2312"/>
        </w:rPr>
      </w:pPr>
    </w:p>
    <w:p>
      <w:pPr>
        <w:rPr>
          <w:rFonts w:ascii="仿宋_GB2312" w:hAnsi="仿宋_GB2312" w:cs="仿宋_GB2312"/>
        </w:rPr>
      </w:pPr>
    </w:p>
    <w:p>
      <w:pPr>
        <w:pStyle w:val="2"/>
        <w:ind w:firstLine="420"/>
        <w:rPr>
          <w:rFonts w:hint="eastAsia" w:ascii="仿宋_GB2312" w:hAnsi="仿宋_GB2312" w:cs="仿宋_GB2312"/>
        </w:rPr>
      </w:pPr>
      <w:r>
        <w:rPr>
          <w:rFonts w:hint="eastAsia" w:ascii="仿宋_GB2312" w:hAnsi="仿宋_GB2312" w:cs="仿宋_GB2312"/>
        </w:rPr>
        <w:t>、</w:t>
      </w:r>
    </w:p>
    <w:p>
      <w:pPr>
        <w:rPr>
          <w:rFonts w:hint="eastAsia" w:ascii="仿宋_GB2312" w:hAnsi="仿宋_GB2312" w:cs="仿宋_GB2312"/>
        </w:rPr>
      </w:pPr>
    </w:p>
    <w:p>
      <w:pPr>
        <w:pStyle w:val="2"/>
        <w:ind w:firstLine="420"/>
        <w:rPr>
          <w:rFonts w:hint="eastAsia" w:ascii="仿宋_GB2312" w:hAnsi="仿宋_GB2312" w:cs="仿宋_GB2312"/>
        </w:rPr>
      </w:pPr>
    </w:p>
    <w:p>
      <w:pPr>
        <w:rPr>
          <w:rFonts w:hint="eastAsia" w:ascii="仿宋_GB2312" w:hAnsi="仿宋_GB2312" w:cs="仿宋_GB2312"/>
        </w:rPr>
      </w:pPr>
    </w:p>
    <w:p>
      <w:pPr>
        <w:pStyle w:val="2"/>
        <w:ind w:firstLine="420"/>
        <w:rPr>
          <w:rFonts w:hint="eastAsia" w:ascii="仿宋_GB2312" w:hAnsi="仿宋_GB2312" w:cs="仿宋_GB2312"/>
        </w:rPr>
      </w:pPr>
    </w:p>
    <w:p>
      <w:pPr>
        <w:rPr>
          <w:rFonts w:hint="eastAsia"/>
        </w:rPr>
      </w:pPr>
    </w:p>
    <w:p>
      <w:pPr>
        <w:pStyle w:val="2"/>
        <w:ind w:firstLine="0" w:firstLineChars="0"/>
        <w:rPr>
          <w:rFonts w:ascii="仿宋_GB2312" w:hAnsi="仿宋_GB2312" w:cs="仿宋_GB2312"/>
        </w:rPr>
      </w:pPr>
    </w:p>
    <w:p>
      <w:pPr>
        <w:spacing w:line="560" w:lineRule="exact"/>
        <w:rPr>
          <w:rFonts w:hint="eastAsia" w:ascii="黑体" w:hAnsi="黑体" w:eastAsia="黑体" w:cs="仿宋_GB2312"/>
          <w:sz w:val="32"/>
          <w:szCs w:val="32"/>
        </w:rPr>
      </w:pPr>
      <w:r>
        <w:rPr>
          <w:rFonts w:hint="eastAsia" w:ascii="黑体" w:hAnsi="黑体" w:eastAsia="黑体" w:cs="仿宋_GB2312"/>
          <w:sz w:val="32"/>
          <w:szCs w:val="32"/>
        </w:rPr>
        <w:t>附件2</w:t>
      </w:r>
    </w:p>
    <w:p>
      <w:pPr>
        <w:pStyle w:val="2"/>
        <w:ind w:firstLine="0" w:firstLineChars="0"/>
        <w:jc w:val="center"/>
        <w:rPr>
          <w:rFonts w:hint="eastAsia" w:ascii="黑体" w:hAnsi="黑体" w:eastAsia="方正小标宋简体" w:cs="黑体"/>
          <w:color w:val="000000"/>
          <w:spacing w:val="-11"/>
        </w:rPr>
      </w:pPr>
      <w:r>
        <w:rPr>
          <w:rFonts w:hint="eastAsia" w:ascii="方正小标宋简体" w:hAnsi="方正小标宋简体" w:eastAsia="方正小标宋简体" w:cs="方正小标宋简体"/>
          <w:color w:val="000000"/>
          <w:sz w:val="36"/>
          <w:szCs w:val="36"/>
        </w:rPr>
        <w:t>2024年安全生产执法检查对象名录库</w:t>
      </w:r>
    </w:p>
    <w:p>
      <w:pPr>
        <w:pStyle w:val="2"/>
        <w:ind w:firstLine="640"/>
        <w:rPr>
          <w:rFonts w:ascii="黑体" w:hAnsi="黑体" w:eastAsia="黑体" w:cs="黑体"/>
          <w:color w:val="000000"/>
          <w:sz w:val="32"/>
          <w:szCs w:val="32"/>
        </w:rPr>
      </w:pPr>
      <w:r>
        <w:rPr>
          <w:rFonts w:hint="eastAsia" w:ascii="黑体" w:hAnsi="黑体" w:eastAsia="黑体" w:cs="黑体"/>
          <w:color w:val="000000"/>
          <w:sz w:val="32"/>
          <w:szCs w:val="32"/>
        </w:rPr>
        <w:t>一、重点检查对象</w:t>
      </w:r>
    </w:p>
    <w:tbl>
      <w:tblPr>
        <w:tblStyle w:val="6"/>
        <w:tblW w:w="133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7811"/>
        <w:gridCol w:w="1709"/>
        <w:gridCol w:w="1454"/>
        <w:gridCol w:w="1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blHeader/>
        </w:trPr>
        <w:tc>
          <w:tcPr>
            <w:tcW w:w="815" w:type="dxa"/>
            <w:noWrap/>
            <w:vAlign w:val="center"/>
          </w:tcPr>
          <w:p>
            <w:pPr>
              <w:spacing w:line="320" w:lineRule="exact"/>
              <w:jc w:val="center"/>
              <w:rPr>
                <w:b/>
                <w:bCs/>
                <w:color w:val="000000"/>
                <w:sz w:val="24"/>
              </w:rPr>
            </w:pPr>
            <w:r>
              <w:rPr>
                <w:rFonts w:hint="eastAsia" w:ascii="宋体" w:hAnsi="宋体" w:cs="宋体"/>
                <w:b/>
                <w:bCs/>
                <w:color w:val="000000"/>
                <w:sz w:val="24"/>
              </w:rPr>
              <w:t>序号</w:t>
            </w:r>
          </w:p>
        </w:tc>
        <w:tc>
          <w:tcPr>
            <w:tcW w:w="7811" w:type="dxa"/>
            <w:noWrap/>
            <w:vAlign w:val="center"/>
          </w:tcPr>
          <w:p>
            <w:pPr>
              <w:spacing w:line="320" w:lineRule="exact"/>
              <w:jc w:val="center"/>
              <w:rPr>
                <w:b/>
                <w:bCs/>
                <w:color w:val="000000"/>
                <w:sz w:val="24"/>
              </w:rPr>
            </w:pPr>
            <w:r>
              <w:rPr>
                <w:rFonts w:hint="eastAsia" w:ascii="宋体" w:hAnsi="宋体" w:cs="宋体"/>
                <w:b/>
                <w:bCs/>
                <w:color w:val="000000"/>
                <w:sz w:val="24"/>
              </w:rPr>
              <w:t>单位名称</w:t>
            </w:r>
          </w:p>
        </w:tc>
        <w:tc>
          <w:tcPr>
            <w:tcW w:w="1709" w:type="dxa"/>
            <w:noWrap/>
            <w:vAlign w:val="center"/>
          </w:tcPr>
          <w:p>
            <w:pPr>
              <w:spacing w:line="320" w:lineRule="exact"/>
              <w:jc w:val="center"/>
              <w:rPr>
                <w:rFonts w:ascii="宋体" w:hAnsi="宋体" w:cs="宋体"/>
                <w:b/>
                <w:bCs/>
                <w:color w:val="000000"/>
                <w:sz w:val="24"/>
              </w:rPr>
            </w:pPr>
            <w:r>
              <w:rPr>
                <w:rFonts w:hint="eastAsia" w:ascii="宋体" w:hAnsi="宋体" w:cs="宋体"/>
                <w:b/>
                <w:bCs/>
                <w:color w:val="000000"/>
                <w:sz w:val="24"/>
              </w:rPr>
              <w:t>行业领域</w:t>
            </w:r>
          </w:p>
        </w:tc>
        <w:tc>
          <w:tcPr>
            <w:tcW w:w="1454" w:type="dxa"/>
            <w:noWrap/>
            <w:vAlign w:val="center"/>
          </w:tcPr>
          <w:p>
            <w:pPr>
              <w:spacing w:line="320" w:lineRule="exact"/>
              <w:jc w:val="center"/>
              <w:rPr>
                <w:rFonts w:ascii="宋体" w:hAnsi="宋体" w:cs="宋体"/>
                <w:b/>
                <w:bCs/>
                <w:color w:val="000000"/>
                <w:sz w:val="24"/>
              </w:rPr>
            </w:pPr>
            <w:r>
              <w:rPr>
                <w:rFonts w:hint="eastAsia" w:ascii="宋体" w:hAnsi="宋体" w:cs="宋体"/>
                <w:b/>
                <w:bCs/>
                <w:color w:val="000000"/>
                <w:sz w:val="24"/>
              </w:rPr>
              <w:t>监督检查</w:t>
            </w:r>
          </w:p>
          <w:p>
            <w:pPr>
              <w:spacing w:line="320" w:lineRule="exact"/>
              <w:jc w:val="center"/>
              <w:rPr>
                <w:rFonts w:ascii="宋体" w:hAnsi="宋体"/>
                <w:b/>
                <w:bCs/>
                <w:color w:val="000000"/>
                <w:sz w:val="24"/>
              </w:rPr>
            </w:pPr>
            <w:r>
              <w:rPr>
                <w:rFonts w:hint="eastAsia" w:ascii="宋体" w:hAnsi="宋体" w:cs="宋体"/>
                <w:b/>
                <w:bCs/>
                <w:color w:val="000000"/>
                <w:sz w:val="24"/>
              </w:rPr>
              <w:t>频次</w:t>
            </w:r>
          </w:p>
        </w:tc>
        <w:tc>
          <w:tcPr>
            <w:tcW w:w="1529" w:type="dxa"/>
            <w:noWrap/>
            <w:vAlign w:val="center"/>
          </w:tcPr>
          <w:p>
            <w:pPr>
              <w:spacing w:line="320" w:lineRule="exact"/>
              <w:jc w:val="center"/>
              <w:rPr>
                <w:rFonts w:ascii="宋体" w:hAnsi="宋体" w:cs="宋体"/>
                <w:b/>
                <w:bCs/>
                <w:color w:val="000000"/>
                <w:sz w:val="24"/>
              </w:rPr>
            </w:pPr>
            <w:r>
              <w:rPr>
                <w:rFonts w:hint="eastAsia" w:ascii="宋体" w:hAnsi="宋体" w:cs="宋体"/>
                <w:b/>
                <w:bCs/>
                <w:color w:val="000000"/>
                <w:sz w:val="24"/>
              </w:rPr>
              <w:t>监督检查</w:t>
            </w:r>
          </w:p>
          <w:p>
            <w:pPr>
              <w:spacing w:line="320" w:lineRule="exact"/>
              <w:jc w:val="center"/>
              <w:rPr>
                <w:rFonts w:ascii="宋体" w:hAnsi="宋体" w:cs="宋体"/>
                <w:b/>
                <w:bCs/>
                <w:color w:val="000000"/>
                <w:sz w:val="24"/>
              </w:rPr>
            </w:pPr>
            <w:r>
              <w:rPr>
                <w:rFonts w:hint="eastAsia" w:ascii="宋体" w:hAnsi="宋体" w:cs="宋体"/>
                <w:b/>
                <w:bCs/>
                <w:color w:val="000000"/>
                <w:sz w:val="24"/>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宾阳县鸡塘山宏拓石场</w:t>
            </w:r>
          </w:p>
        </w:tc>
        <w:tc>
          <w:tcPr>
            <w:tcW w:w="1709" w:type="dxa"/>
            <w:noWrap/>
            <w:vAlign w:val="center"/>
          </w:tcPr>
          <w:p>
            <w:pPr>
              <w:widowControl/>
              <w:spacing w:line="280" w:lineRule="exact"/>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非煤矿山</w:t>
            </w:r>
          </w:p>
        </w:tc>
        <w:tc>
          <w:tcPr>
            <w:tcW w:w="1454" w:type="dxa"/>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每季度一次</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2</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南宁市晟泰矿业有限公司（宾阳县黎塘镇三安矿区铅锌矿）</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54" w:type="dxa"/>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每季度一次</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3</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南宁交投昆仑实业投资有限公司宾阳县黎塘镇旗山矿区建筑石料用灰岩矿</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54" w:type="dxa"/>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每季度一次</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4</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广西华润红水河水泥有限公司龙马山石灰石矿</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54" w:type="dxa"/>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每季度一次</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5</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广西南宁丰林矿业有限公司（宾阳县平安采石场）</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54" w:type="dxa"/>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6</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南宁市兴中建材有限公司(宾阳县思陇镇长田山建筑用砂矿)</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54" w:type="dxa"/>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7</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宾阳县洺华茧丝绸有限责任公司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8</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宾阳县百合缫丝有限责任公司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9</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广西亿凯玻璃科技有限公司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10</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广西华凯玻璃有限公司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11</w:t>
            </w:r>
          </w:p>
        </w:tc>
        <w:tc>
          <w:tcPr>
            <w:tcW w:w="7811" w:type="dxa"/>
            <w:noWrap/>
            <w:vAlign w:val="center"/>
          </w:tcPr>
          <w:p>
            <w:pPr>
              <w:widowControl/>
              <w:spacing w:line="280" w:lineRule="exact"/>
              <w:textAlignment w:val="center"/>
              <w:rPr>
                <w:color w:val="000000"/>
                <w:sz w:val="22"/>
                <w:szCs w:val="22"/>
              </w:rPr>
            </w:pPr>
            <w:r>
              <w:rPr>
                <w:rFonts w:hint="eastAsia" w:ascii="宋体" w:hAnsi="宋体" w:cs="宋体"/>
                <w:color w:val="000000"/>
                <w:kern w:val="0"/>
                <w:sz w:val="22"/>
                <w:szCs w:val="22"/>
                <w:lang w:bidi="ar"/>
              </w:rPr>
              <w:t>广西南宁市黎塘首丰粮食有限责任公司</w:t>
            </w:r>
          </w:p>
        </w:tc>
        <w:tc>
          <w:tcPr>
            <w:tcW w:w="1709" w:type="dxa"/>
            <w:noWrap/>
            <w:vAlign w:val="center"/>
          </w:tcPr>
          <w:p>
            <w:pPr>
              <w:widowControl/>
              <w:spacing w:line="280" w:lineRule="exact"/>
              <w:jc w:val="center"/>
              <w:textAlignment w:val="center"/>
              <w:rPr>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12</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广西安佑生物科技有限公司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13</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南宁九鼎牧业有限公司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14</w:t>
            </w:r>
          </w:p>
        </w:tc>
        <w:tc>
          <w:tcPr>
            <w:tcW w:w="7811" w:type="dxa"/>
            <w:noWrap/>
            <w:vAlign w:val="center"/>
          </w:tcPr>
          <w:p>
            <w:pPr>
              <w:widowControl/>
              <w:spacing w:line="280" w:lineRule="exact"/>
              <w:textAlignment w:val="center"/>
              <w:rPr>
                <w:rFonts w:ascii="宋体" w:hAnsi="宋体" w:cs="宋体"/>
                <w:color w:val="000000"/>
                <w:sz w:val="22"/>
                <w:szCs w:val="22"/>
              </w:rPr>
            </w:pPr>
            <w:r>
              <w:rPr>
                <w:rFonts w:ascii="宋体" w:hAnsi="宋体" w:cs="宋体"/>
                <w:color w:val="000000"/>
                <w:kern w:val="0"/>
                <w:sz w:val="22"/>
                <w:szCs w:val="22"/>
                <w:lang w:bidi="ar"/>
              </w:rPr>
              <w:t>宾阳恒兴饲料有限公司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15</w:t>
            </w:r>
          </w:p>
        </w:tc>
        <w:tc>
          <w:tcPr>
            <w:tcW w:w="7811" w:type="dxa"/>
            <w:noWrap/>
            <w:vAlign w:val="center"/>
          </w:tcPr>
          <w:p>
            <w:pPr>
              <w:textAlignment w:val="center"/>
              <w:rPr>
                <w:rFonts w:ascii="宋体" w:hAnsi="宋体" w:cs="宋体"/>
                <w:color w:val="000000"/>
                <w:sz w:val="22"/>
                <w:szCs w:val="22"/>
              </w:rPr>
            </w:pPr>
            <w:r>
              <w:rPr>
                <w:rFonts w:ascii="宋体" w:hAnsi="宋体" w:cs="宋体"/>
                <w:color w:val="000000"/>
                <w:kern w:val="0"/>
                <w:sz w:val="22"/>
                <w:szCs w:val="22"/>
                <w:lang w:bidi="ar"/>
              </w:rPr>
              <w:t>广西富丰集团有限公司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16</w:t>
            </w:r>
          </w:p>
        </w:tc>
        <w:tc>
          <w:tcPr>
            <w:tcW w:w="7811" w:type="dxa"/>
            <w:noWrap/>
            <w:vAlign w:val="center"/>
          </w:tcPr>
          <w:p>
            <w:pPr>
              <w:widowControl/>
              <w:spacing w:line="280" w:lineRule="exact"/>
              <w:textAlignment w:val="center"/>
              <w:rPr>
                <w:rFonts w:ascii="宋体" w:hAnsi="宋体" w:cs="宋体"/>
                <w:color w:val="000000"/>
                <w:sz w:val="22"/>
                <w:szCs w:val="22"/>
              </w:rPr>
            </w:pPr>
            <w:r>
              <w:rPr>
                <w:rFonts w:ascii="宋体" w:hAnsi="宋体" w:cs="宋体"/>
                <w:color w:val="000000"/>
                <w:kern w:val="0"/>
                <w:sz w:val="22"/>
                <w:szCs w:val="22"/>
                <w:lang w:bidi="ar"/>
              </w:rPr>
              <w:t>宾阳通威饲料有限公司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17</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广西宾阳县欧雪冷冻食品有限公司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18</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广西彬伟装饰材料有限公司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19</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广西良创新材料科技有限公司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20</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广西欣阳铝模科技有限公司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21</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广西华亨粉业食品有限公司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22</w:t>
            </w:r>
          </w:p>
        </w:tc>
        <w:tc>
          <w:tcPr>
            <w:tcW w:w="7811"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南宁市佳达纸业有限责任公司</w:t>
            </w:r>
          </w:p>
        </w:tc>
        <w:tc>
          <w:tcPr>
            <w:tcW w:w="1709"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23</w:t>
            </w:r>
          </w:p>
        </w:tc>
        <w:tc>
          <w:tcPr>
            <w:tcW w:w="7811" w:type="dxa"/>
            <w:noWrap/>
            <w:vAlign w:val="center"/>
          </w:tcPr>
          <w:p>
            <w:pPr>
              <w:widowControl/>
              <w:spacing w:line="280" w:lineRule="exact"/>
              <w:textAlignment w:val="center"/>
              <w:rPr>
                <w:rFonts w:hint="eastAsia"/>
                <w:color w:val="000000"/>
                <w:sz w:val="22"/>
                <w:szCs w:val="22"/>
              </w:rPr>
            </w:pPr>
            <w:r>
              <w:rPr>
                <w:rFonts w:hint="eastAsia" w:ascii="宋体" w:hAnsi="宋体" w:cs="宋体"/>
                <w:color w:val="000000"/>
                <w:kern w:val="0"/>
                <w:sz w:val="22"/>
                <w:szCs w:val="22"/>
                <w:lang w:bidi="ar"/>
              </w:rPr>
              <w:t>广西小锂新能源科技有限公司</w:t>
            </w:r>
          </w:p>
        </w:tc>
        <w:tc>
          <w:tcPr>
            <w:tcW w:w="1709" w:type="dxa"/>
            <w:noWrap/>
            <w:vAlign w:val="center"/>
          </w:tcPr>
          <w:p>
            <w:pPr>
              <w:widowControl/>
              <w:spacing w:line="280" w:lineRule="exact"/>
              <w:jc w:val="center"/>
              <w:textAlignment w:val="center"/>
              <w:rPr>
                <w:color w:val="000000"/>
                <w:sz w:val="22"/>
                <w:szCs w:val="22"/>
              </w:rPr>
            </w:pPr>
            <w:r>
              <w:rPr>
                <w:rFonts w:hint="eastAsia" w:ascii="宋体" w:hAnsi="宋体" w:cs="宋体"/>
                <w:color w:val="000000"/>
                <w:kern w:val="0"/>
                <w:sz w:val="22"/>
                <w:szCs w:val="22"/>
                <w:lang w:bidi="ar"/>
              </w:rPr>
              <w:t>工贸</w:t>
            </w:r>
          </w:p>
        </w:tc>
        <w:tc>
          <w:tcPr>
            <w:tcW w:w="1454"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24</w:t>
            </w:r>
          </w:p>
        </w:tc>
        <w:tc>
          <w:tcPr>
            <w:tcW w:w="7811" w:type="dxa"/>
            <w:noWrap/>
            <w:vAlign w:val="center"/>
          </w:tcPr>
          <w:p>
            <w:pPr>
              <w:widowControl/>
              <w:jc w:val="left"/>
              <w:textAlignment w:val="center"/>
              <w:rPr>
                <w:rFonts w:hint="eastAsia"/>
                <w:color w:val="000000"/>
                <w:sz w:val="22"/>
                <w:szCs w:val="22"/>
              </w:rPr>
            </w:pPr>
            <w:r>
              <w:rPr>
                <w:rFonts w:hint="eastAsia" w:ascii="宋体" w:hAnsi="宋体" w:cs="宋体"/>
                <w:color w:val="000000"/>
                <w:kern w:val="0"/>
                <w:sz w:val="22"/>
                <w:szCs w:val="22"/>
                <w:lang w:bidi="ar"/>
              </w:rPr>
              <w:t>国家石油天然气管网集团有限公司广西分公司黎塘站</w:t>
            </w:r>
          </w:p>
        </w:tc>
        <w:tc>
          <w:tcPr>
            <w:tcW w:w="1709" w:type="dxa"/>
            <w:noWrap/>
            <w:vAlign w:val="top"/>
          </w:tcPr>
          <w:p>
            <w:pPr>
              <w:widowControl/>
              <w:spacing w:line="280" w:lineRule="exact"/>
              <w:jc w:val="center"/>
              <w:textAlignment w:val="center"/>
              <w:rPr>
                <w:color w:val="000000"/>
                <w:sz w:val="22"/>
                <w:szCs w:val="22"/>
              </w:rPr>
            </w:pPr>
            <w:r>
              <w:rPr>
                <w:rFonts w:hint="eastAsia" w:ascii="宋体" w:hAnsi="宋体" w:cs="宋体"/>
                <w:color w:val="000000"/>
                <w:kern w:val="0"/>
                <w:sz w:val="22"/>
                <w:szCs w:val="22"/>
                <w:lang w:bidi="ar"/>
              </w:rPr>
              <w:t>危险化学品</w:t>
            </w:r>
          </w:p>
        </w:tc>
        <w:tc>
          <w:tcPr>
            <w:tcW w:w="1454"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25</w:t>
            </w:r>
          </w:p>
        </w:tc>
        <w:tc>
          <w:tcPr>
            <w:tcW w:w="7811" w:type="dxa"/>
            <w:noWrap/>
            <w:vAlign w:val="center"/>
          </w:tcPr>
          <w:p>
            <w:pPr>
              <w:widowControl/>
              <w:jc w:val="left"/>
              <w:textAlignment w:val="center"/>
              <w:rPr>
                <w:rFonts w:hint="eastAsia"/>
                <w:color w:val="000000"/>
                <w:sz w:val="22"/>
                <w:szCs w:val="22"/>
              </w:rPr>
            </w:pPr>
            <w:r>
              <w:rPr>
                <w:rFonts w:hint="eastAsia" w:ascii="宋体" w:hAnsi="宋体" w:cs="宋体"/>
                <w:color w:val="000000"/>
                <w:kern w:val="0"/>
                <w:sz w:val="22"/>
                <w:szCs w:val="22"/>
                <w:lang w:bidi="ar"/>
              </w:rPr>
              <w:t>广西东正甲醛有限公司</w:t>
            </w:r>
          </w:p>
        </w:tc>
        <w:tc>
          <w:tcPr>
            <w:tcW w:w="1709" w:type="dxa"/>
            <w:noWrap/>
            <w:vAlign w:val="top"/>
          </w:tcPr>
          <w:p>
            <w:pPr>
              <w:widowControl/>
              <w:spacing w:line="280" w:lineRule="exact"/>
              <w:jc w:val="center"/>
              <w:textAlignment w:val="center"/>
              <w:rPr>
                <w:color w:val="000000"/>
                <w:sz w:val="22"/>
                <w:szCs w:val="22"/>
              </w:rPr>
            </w:pPr>
            <w:r>
              <w:rPr>
                <w:rFonts w:hint="eastAsia" w:ascii="宋体" w:hAnsi="宋体" w:cs="宋体"/>
                <w:color w:val="000000"/>
                <w:kern w:val="0"/>
                <w:sz w:val="22"/>
                <w:szCs w:val="22"/>
                <w:lang w:bidi="ar"/>
              </w:rPr>
              <w:t>危险化学品</w:t>
            </w:r>
          </w:p>
        </w:tc>
        <w:tc>
          <w:tcPr>
            <w:tcW w:w="1454"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26</w:t>
            </w:r>
          </w:p>
        </w:tc>
        <w:tc>
          <w:tcPr>
            <w:tcW w:w="7811" w:type="dxa"/>
            <w:noWrap/>
            <w:vAlign w:val="center"/>
          </w:tcPr>
          <w:p>
            <w:pPr>
              <w:widowControl/>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广西南宁市新中石化有限公司宾阳县中华镇加油站</w:t>
            </w:r>
          </w:p>
        </w:tc>
        <w:tc>
          <w:tcPr>
            <w:tcW w:w="1709"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54"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27</w:t>
            </w:r>
          </w:p>
        </w:tc>
        <w:tc>
          <w:tcPr>
            <w:tcW w:w="7811"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广西腾鑫贸易有限公司宾阳西环加油站</w:t>
            </w:r>
          </w:p>
        </w:tc>
        <w:tc>
          <w:tcPr>
            <w:tcW w:w="1709"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28</w:t>
            </w:r>
          </w:p>
        </w:tc>
        <w:tc>
          <w:tcPr>
            <w:tcW w:w="7811"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广西黎塘远东化肥有限责任公司</w:t>
            </w:r>
          </w:p>
        </w:tc>
        <w:tc>
          <w:tcPr>
            <w:tcW w:w="1709"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29</w:t>
            </w:r>
          </w:p>
        </w:tc>
        <w:tc>
          <w:tcPr>
            <w:tcW w:w="7811"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宾阳县增良气体销售有限公司</w:t>
            </w:r>
          </w:p>
        </w:tc>
        <w:tc>
          <w:tcPr>
            <w:tcW w:w="1709"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30</w:t>
            </w:r>
          </w:p>
        </w:tc>
        <w:tc>
          <w:tcPr>
            <w:tcW w:w="7811"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广西宾阳县湘信烟花爆竹销售有限公司</w:t>
            </w:r>
          </w:p>
        </w:tc>
        <w:tc>
          <w:tcPr>
            <w:tcW w:w="1709"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烟花爆竹</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31</w:t>
            </w:r>
          </w:p>
        </w:tc>
        <w:tc>
          <w:tcPr>
            <w:tcW w:w="7811"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南宁市吉源烟花爆竹经营有限公司</w:t>
            </w:r>
          </w:p>
        </w:tc>
        <w:tc>
          <w:tcPr>
            <w:tcW w:w="1709"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烟花爆竹</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32</w:t>
            </w:r>
          </w:p>
        </w:tc>
        <w:tc>
          <w:tcPr>
            <w:tcW w:w="7811"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宾阳县黎塘镇清姐烟花爆竹经营店</w:t>
            </w:r>
          </w:p>
        </w:tc>
        <w:tc>
          <w:tcPr>
            <w:tcW w:w="1709"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烟花爆竹</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33</w:t>
            </w:r>
          </w:p>
        </w:tc>
        <w:tc>
          <w:tcPr>
            <w:tcW w:w="7811"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宾阳县王灵镇祥彩烟花爆竹经营部</w:t>
            </w:r>
          </w:p>
        </w:tc>
        <w:tc>
          <w:tcPr>
            <w:tcW w:w="1709"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烟花爆竹</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34</w:t>
            </w:r>
          </w:p>
        </w:tc>
        <w:tc>
          <w:tcPr>
            <w:tcW w:w="7811"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宾阳县中华镇亿达烟花爆竹经营部</w:t>
            </w:r>
          </w:p>
        </w:tc>
        <w:tc>
          <w:tcPr>
            <w:tcW w:w="1709"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烟花爆竹</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35</w:t>
            </w:r>
          </w:p>
        </w:tc>
        <w:tc>
          <w:tcPr>
            <w:tcW w:w="7811"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宾阳县和吉镇惠民烟花爆竹经营部</w:t>
            </w:r>
          </w:p>
        </w:tc>
        <w:tc>
          <w:tcPr>
            <w:tcW w:w="1709" w:type="dxa"/>
            <w:noWrap/>
            <w:vAlign w:val="top"/>
          </w:tcPr>
          <w:p>
            <w:pPr>
              <w:widowControl/>
              <w:spacing w:line="280" w:lineRule="exact"/>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烟花爆竹</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36</w:t>
            </w:r>
          </w:p>
        </w:tc>
        <w:tc>
          <w:tcPr>
            <w:tcW w:w="7811"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宾阳县祥汇盈烟花爆竹经营部</w:t>
            </w:r>
          </w:p>
        </w:tc>
        <w:tc>
          <w:tcPr>
            <w:tcW w:w="1709"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烟花爆竹</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37</w:t>
            </w:r>
          </w:p>
        </w:tc>
        <w:tc>
          <w:tcPr>
            <w:tcW w:w="7811"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宾阳县新桥镇馨语烟花爆竹店</w:t>
            </w:r>
          </w:p>
        </w:tc>
        <w:tc>
          <w:tcPr>
            <w:tcW w:w="1709"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烟花爆竹</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15"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38</w:t>
            </w:r>
          </w:p>
        </w:tc>
        <w:tc>
          <w:tcPr>
            <w:tcW w:w="7811"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宾阳县黎塘镇韦稳新烟花爆竹经营部</w:t>
            </w:r>
          </w:p>
        </w:tc>
        <w:tc>
          <w:tcPr>
            <w:tcW w:w="1709"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烟花爆竹</w:t>
            </w:r>
          </w:p>
        </w:tc>
        <w:tc>
          <w:tcPr>
            <w:tcW w:w="1454"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1次/年</w:t>
            </w:r>
          </w:p>
        </w:tc>
        <w:tc>
          <w:tcPr>
            <w:tcW w:w="1529"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bl>
    <w:p>
      <w:pPr>
        <w:pStyle w:val="2"/>
        <w:ind w:firstLine="0" w:firstLineChars="0"/>
        <w:rPr>
          <w:rFonts w:ascii="楷体" w:hAnsi="楷体" w:eastAsia="楷体" w:cs="楷体"/>
          <w:color w:val="FF0000"/>
        </w:rPr>
      </w:pPr>
    </w:p>
    <w:p>
      <w:pPr>
        <w:adjustRightInd w:val="0"/>
        <w:snapToGrid w:val="0"/>
        <w:ind w:firstLine="640" w:firstLineChars="200"/>
        <w:rPr>
          <w:rFonts w:hint="eastAsia" w:ascii="黑体" w:hAnsi="黑体" w:eastAsia="黑体" w:cs="黑体"/>
          <w:color w:val="FF0000"/>
          <w:sz w:val="32"/>
          <w:szCs w:val="32"/>
        </w:rPr>
      </w:pPr>
    </w:p>
    <w:p>
      <w:pPr>
        <w:adjustRightInd w:val="0"/>
        <w:snapToGrid w:val="0"/>
        <w:ind w:firstLine="640" w:firstLineChars="200"/>
        <w:rPr>
          <w:rFonts w:hint="eastAsia" w:ascii="黑体" w:hAnsi="黑体" w:eastAsia="黑体" w:cs="黑体"/>
          <w:color w:val="FF0000"/>
          <w:sz w:val="32"/>
          <w:szCs w:val="32"/>
        </w:rPr>
      </w:pPr>
    </w:p>
    <w:p>
      <w:pPr>
        <w:adjustRightInd w:val="0"/>
        <w:snapToGrid w:val="0"/>
        <w:ind w:firstLine="640" w:firstLineChars="200"/>
        <w:rPr>
          <w:rFonts w:hint="eastAsia" w:ascii="黑体" w:hAnsi="黑体" w:eastAsia="黑体" w:cs="黑体"/>
          <w:color w:val="FF0000"/>
          <w:sz w:val="32"/>
          <w:szCs w:val="32"/>
        </w:rPr>
      </w:pPr>
    </w:p>
    <w:p>
      <w:pPr>
        <w:adjustRightInd w:val="0"/>
        <w:snapToGrid w:val="0"/>
        <w:ind w:firstLine="640" w:firstLineChars="200"/>
        <w:rPr>
          <w:rFonts w:hint="eastAsia" w:ascii="黑体" w:hAnsi="黑体" w:eastAsia="黑体" w:cs="黑体"/>
          <w:color w:val="FF0000"/>
          <w:sz w:val="32"/>
          <w:szCs w:val="32"/>
        </w:rPr>
      </w:pPr>
    </w:p>
    <w:p>
      <w:pPr>
        <w:adjustRightInd w:val="0"/>
        <w:snapToGrid w:val="0"/>
        <w:ind w:firstLine="640" w:firstLineChars="200"/>
        <w:rPr>
          <w:rFonts w:hint="eastAsia" w:ascii="黑体" w:hAnsi="黑体" w:eastAsia="黑体" w:cs="黑体"/>
          <w:color w:val="FF0000"/>
          <w:sz w:val="32"/>
          <w:szCs w:val="32"/>
        </w:rPr>
      </w:pPr>
    </w:p>
    <w:p>
      <w:pPr>
        <w:adjustRightInd w:val="0"/>
        <w:snapToGrid w:val="0"/>
        <w:ind w:firstLine="640" w:firstLineChars="200"/>
        <w:rPr>
          <w:rFonts w:hint="eastAsia" w:ascii="黑体" w:hAnsi="黑体" w:eastAsia="黑体" w:cs="黑体"/>
          <w:color w:val="FF0000"/>
          <w:sz w:val="32"/>
          <w:szCs w:val="32"/>
        </w:rPr>
      </w:pPr>
    </w:p>
    <w:p>
      <w:pPr>
        <w:adjustRightInd w:val="0"/>
        <w:snapToGrid w:val="0"/>
        <w:ind w:firstLine="640" w:firstLineChars="200"/>
        <w:rPr>
          <w:rFonts w:hint="eastAsia" w:ascii="黑体" w:hAnsi="黑体" w:eastAsia="黑体" w:cs="黑体"/>
          <w:color w:val="FF0000"/>
          <w:sz w:val="32"/>
          <w:szCs w:val="32"/>
        </w:rPr>
      </w:pPr>
    </w:p>
    <w:p>
      <w:pPr>
        <w:adjustRightInd w:val="0"/>
        <w:snapToGrid w:val="0"/>
        <w:ind w:firstLine="640" w:firstLineChars="200"/>
        <w:rPr>
          <w:rFonts w:hint="eastAsia" w:ascii="黑体" w:hAnsi="黑体" w:eastAsia="黑体" w:cs="黑体"/>
          <w:color w:val="000000"/>
          <w:sz w:val="32"/>
          <w:szCs w:val="32"/>
        </w:rPr>
      </w:pPr>
    </w:p>
    <w:p>
      <w:pPr>
        <w:adjustRightInd w:val="0"/>
        <w:snapToGrid w:val="0"/>
        <w:ind w:firstLine="640" w:firstLineChars="200"/>
        <w:rPr>
          <w:rFonts w:ascii="宋体" w:hAnsi="宋体" w:cs="宋体"/>
          <w:b/>
          <w:bCs/>
          <w:color w:val="000000"/>
          <w:sz w:val="22"/>
          <w:szCs w:val="22"/>
        </w:rPr>
      </w:pPr>
      <w:r>
        <w:rPr>
          <w:rFonts w:hint="eastAsia" w:ascii="黑体" w:hAnsi="黑体" w:eastAsia="黑体" w:cs="黑体"/>
          <w:color w:val="000000"/>
          <w:sz w:val="32"/>
          <w:szCs w:val="32"/>
        </w:rPr>
        <w:t>二、一般检查对象</w:t>
      </w:r>
    </w:p>
    <w:tbl>
      <w:tblPr>
        <w:tblStyle w:val="6"/>
        <w:tblW w:w="1333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8153"/>
        <w:gridCol w:w="1380"/>
        <w:gridCol w:w="1440"/>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blHeader/>
        </w:trPr>
        <w:tc>
          <w:tcPr>
            <w:tcW w:w="818" w:type="dxa"/>
            <w:noWrap/>
            <w:vAlign w:val="center"/>
          </w:tcPr>
          <w:p>
            <w:pPr>
              <w:spacing w:line="320" w:lineRule="exact"/>
              <w:jc w:val="center"/>
              <w:rPr>
                <w:b/>
                <w:bCs/>
                <w:color w:val="000000"/>
                <w:sz w:val="24"/>
              </w:rPr>
            </w:pPr>
            <w:r>
              <w:rPr>
                <w:rFonts w:hint="eastAsia" w:ascii="宋体" w:hAnsi="宋体" w:cs="宋体"/>
                <w:b/>
                <w:bCs/>
                <w:color w:val="000000"/>
                <w:sz w:val="24"/>
              </w:rPr>
              <w:t>序号</w:t>
            </w:r>
          </w:p>
        </w:tc>
        <w:tc>
          <w:tcPr>
            <w:tcW w:w="8153" w:type="dxa"/>
            <w:noWrap/>
            <w:vAlign w:val="center"/>
          </w:tcPr>
          <w:p>
            <w:pPr>
              <w:spacing w:line="320" w:lineRule="exact"/>
              <w:jc w:val="center"/>
              <w:rPr>
                <w:b/>
                <w:bCs/>
                <w:color w:val="000000"/>
                <w:sz w:val="24"/>
              </w:rPr>
            </w:pPr>
            <w:r>
              <w:rPr>
                <w:rFonts w:hint="eastAsia" w:ascii="宋体" w:hAnsi="宋体" w:cs="宋体"/>
                <w:b/>
                <w:bCs/>
                <w:color w:val="000000"/>
                <w:sz w:val="24"/>
              </w:rPr>
              <w:t>单位名称</w:t>
            </w:r>
          </w:p>
        </w:tc>
        <w:tc>
          <w:tcPr>
            <w:tcW w:w="1380" w:type="dxa"/>
            <w:noWrap/>
            <w:vAlign w:val="center"/>
          </w:tcPr>
          <w:p>
            <w:pPr>
              <w:spacing w:line="320" w:lineRule="exact"/>
              <w:jc w:val="center"/>
              <w:rPr>
                <w:rFonts w:ascii="宋体" w:hAnsi="宋体" w:cs="宋体"/>
                <w:b/>
                <w:bCs/>
                <w:color w:val="000000"/>
                <w:sz w:val="24"/>
              </w:rPr>
            </w:pPr>
            <w:r>
              <w:rPr>
                <w:rFonts w:hint="eastAsia" w:ascii="宋体" w:hAnsi="宋体" w:cs="宋体"/>
                <w:b/>
                <w:bCs/>
                <w:color w:val="000000"/>
                <w:sz w:val="24"/>
              </w:rPr>
              <w:t>行业领域</w:t>
            </w:r>
          </w:p>
        </w:tc>
        <w:tc>
          <w:tcPr>
            <w:tcW w:w="1440" w:type="dxa"/>
            <w:noWrap/>
            <w:vAlign w:val="center"/>
          </w:tcPr>
          <w:p>
            <w:pPr>
              <w:spacing w:line="320" w:lineRule="exact"/>
              <w:jc w:val="center"/>
              <w:rPr>
                <w:rFonts w:ascii="宋体" w:hAnsi="宋体" w:cs="宋体"/>
                <w:b/>
                <w:bCs/>
                <w:color w:val="000000"/>
                <w:sz w:val="24"/>
              </w:rPr>
            </w:pPr>
            <w:r>
              <w:rPr>
                <w:rFonts w:hint="eastAsia" w:ascii="宋体" w:hAnsi="宋体" w:cs="宋体"/>
                <w:b/>
                <w:bCs/>
                <w:color w:val="000000"/>
                <w:sz w:val="24"/>
              </w:rPr>
              <w:t>监督检查</w:t>
            </w:r>
          </w:p>
          <w:p>
            <w:pPr>
              <w:spacing w:line="320" w:lineRule="exact"/>
              <w:jc w:val="center"/>
              <w:rPr>
                <w:rFonts w:ascii="宋体" w:hAnsi="宋体"/>
                <w:b/>
                <w:bCs/>
                <w:color w:val="000000"/>
                <w:sz w:val="24"/>
              </w:rPr>
            </w:pPr>
            <w:r>
              <w:rPr>
                <w:rFonts w:hint="eastAsia" w:ascii="宋体" w:hAnsi="宋体" w:cs="宋体"/>
                <w:b/>
                <w:bCs/>
                <w:color w:val="000000"/>
                <w:sz w:val="24"/>
              </w:rPr>
              <w:t>频次</w:t>
            </w:r>
          </w:p>
        </w:tc>
        <w:tc>
          <w:tcPr>
            <w:tcW w:w="1545" w:type="dxa"/>
            <w:noWrap/>
            <w:vAlign w:val="center"/>
          </w:tcPr>
          <w:p>
            <w:pPr>
              <w:spacing w:line="320" w:lineRule="exact"/>
              <w:jc w:val="center"/>
              <w:rPr>
                <w:rFonts w:ascii="宋体" w:hAnsi="宋体" w:cs="宋体"/>
                <w:b/>
                <w:bCs/>
                <w:color w:val="000000"/>
                <w:sz w:val="24"/>
              </w:rPr>
            </w:pPr>
            <w:r>
              <w:rPr>
                <w:rFonts w:hint="eastAsia" w:ascii="宋体" w:hAnsi="宋体" w:cs="宋体"/>
                <w:b/>
                <w:bCs/>
                <w:color w:val="000000"/>
                <w:sz w:val="24"/>
              </w:rPr>
              <w:t>监督检查</w:t>
            </w:r>
          </w:p>
          <w:p>
            <w:pPr>
              <w:spacing w:line="320" w:lineRule="exact"/>
              <w:jc w:val="center"/>
              <w:rPr>
                <w:rFonts w:ascii="宋体" w:hAnsi="宋体" w:cs="宋体"/>
                <w:b/>
                <w:bCs/>
                <w:color w:val="000000"/>
                <w:sz w:val="24"/>
              </w:rPr>
            </w:pPr>
            <w:r>
              <w:rPr>
                <w:rFonts w:hint="eastAsia" w:ascii="宋体" w:hAnsi="宋体" w:cs="宋体"/>
                <w:b/>
                <w:bCs/>
                <w:color w:val="000000"/>
                <w:sz w:val="24"/>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宾阳县富能矿业有限责任公司宾阳县邹圩镇外通山采石场</w:t>
            </w:r>
          </w:p>
        </w:tc>
        <w:tc>
          <w:tcPr>
            <w:tcW w:w="1380" w:type="dxa"/>
            <w:noWrap/>
            <w:vAlign w:val="center"/>
          </w:tcPr>
          <w:p>
            <w:pPr>
              <w:widowControl/>
              <w:spacing w:line="280" w:lineRule="exact"/>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非煤矿山</w:t>
            </w:r>
          </w:p>
        </w:tc>
        <w:tc>
          <w:tcPr>
            <w:tcW w:w="1440" w:type="dxa"/>
            <w:vMerge w:val="restart"/>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30%比例随机抽查，抽中企业1次/年</w:t>
            </w: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2</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宾阳县伶俐采石场</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40" w:type="dxa"/>
            <w:vMerge w:val="continue"/>
            <w:noWrap/>
            <w:vAlign w:val="center"/>
          </w:tcPr>
          <w:p>
            <w:pPr>
              <w:spacing w:line="280" w:lineRule="exact"/>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3</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 xml:space="preserve">广西华润红水河水泥有限公司凤凰山石灰石矿 </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40" w:type="dxa"/>
            <w:vMerge w:val="continue"/>
            <w:noWrap/>
            <w:vAlign w:val="center"/>
          </w:tcPr>
          <w:p>
            <w:pPr>
              <w:spacing w:line="280" w:lineRule="exact"/>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4</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广西华润红水河水泥有限公司林村粉砂页岩矿</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5</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宾阳县恒发页岩砖厂页岩矿</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6</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宾阳县黎塘新大地页岩矿</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7</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广西宾阳县长泰矿业有限公司甘棠选矿厂尾矿库</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8</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广西昆仑矿业有限公司马岭铜矿选矿厂尾矿库</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9</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宾阳县宝隆高岭土矿业有限公司宾阳县宾州镇王明矿区高岭土矿</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10</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宾阳县史源矿业有限责任公司宾阳县宾州镇火石岭矿区膨润土矿</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11</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南宁市宾阳县龙排阮杰矿业有限责任公司(宾阳县邹圩镇龙排采石场)</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12</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宾阳县大桥金玉纸业有限公司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13</w:t>
            </w:r>
          </w:p>
        </w:tc>
        <w:tc>
          <w:tcPr>
            <w:tcW w:w="8153" w:type="dxa"/>
            <w:noWrap/>
            <w:vAlign w:val="center"/>
          </w:tcPr>
          <w:p>
            <w:pPr>
              <w:textAlignment w:val="center"/>
              <w:rPr>
                <w:rFonts w:ascii="宋体" w:hAnsi="宋体" w:cs="宋体"/>
                <w:color w:val="000000"/>
                <w:sz w:val="22"/>
                <w:szCs w:val="22"/>
              </w:rPr>
            </w:pPr>
            <w:r>
              <w:rPr>
                <w:rFonts w:hint="eastAsia" w:ascii="宋体" w:hAnsi="宋体" w:cs="宋体"/>
                <w:color w:val="000000"/>
                <w:kern w:val="0"/>
                <w:sz w:val="22"/>
                <w:szCs w:val="22"/>
                <w:lang w:bidi="ar"/>
              </w:rPr>
              <w:t>宾阳县生宝造纸厂</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14</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宾阳县通用造纸厂</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15</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宾阳县利兴隆造纸有限公司</w:t>
            </w:r>
          </w:p>
        </w:tc>
        <w:tc>
          <w:tcPr>
            <w:tcW w:w="1380" w:type="dxa"/>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restart"/>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30%比例随机抽查，抽中企业1次/年</w:t>
            </w: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16</w:t>
            </w:r>
          </w:p>
        </w:tc>
        <w:tc>
          <w:tcPr>
            <w:tcW w:w="8153" w:type="dxa"/>
            <w:noWrap/>
            <w:vAlign w:val="center"/>
          </w:tcPr>
          <w:p>
            <w:pPr>
              <w:widowControl/>
              <w:textAlignment w:val="center"/>
              <w:rPr>
                <w:rFonts w:ascii="宋体" w:hAnsi="宋体" w:cs="宋体"/>
                <w:color w:val="000000"/>
                <w:sz w:val="22"/>
                <w:szCs w:val="22"/>
              </w:rPr>
            </w:pPr>
            <w:r>
              <w:rPr>
                <w:rFonts w:hint="eastAsia" w:ascii="宋体" w:hAnsi="宋体" w:cs="宋体"/>
                <w:color w:val="000000"/>
                <w:kern w:val="0"/>
                <w:sz w:val="22"/>
                <w:szCs w:val="22"/>
                <w:lang w:bidi="ar"/>
              </w:rPr>
              <w:t>广西发昌香业有限公司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17</w:t>
            </w:r>
          </w:p>
        </w:tc>
        <w:tc>
          <w:tcPr>
            <w:tcW w:w="8153" w:type="dxa"/>
            <w:noWrap/>
            <w:vAlign w:val="center"/>
          </w:tcPr>
          <w:p>
            <w:pPr>
              <w:widowControl/>
              <w:textAlignment w:val="bottom"/>
              <w:rPr>
                <w:rFonts w:ascii="宋体" w:hAnsi="宋体" w:cs="宋体"/>
                <w:color w:val="000000"/>
                <w:sz w:val="22"/>
                <w:szCs w:val="22"/>
              </w:rPr>
            </w:pPr>
            <w:r>
              <w:rPr>
                <w:rFonts w:hint="eastAsia" w:ascii="宋体" w:hAnsi="宋体" w:cs="宋体"/>
                <w:color w:val="000000"/>
                <w:kern w:val="0"/>
                <w:sz w:val="22"/>
                <w:szCs w:val="22"/>
                <w:lang w:bidi="ar"/>
              </w:rPr>
              <w:t>广西电力线路器材厂有限责任公司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18</w:t>
            </w:r>
          </w:p>
        </w:tc>
        <w:tc>
          <w:tcPr>
            <w:tcW w:w="8153" w:type="dxa"/>
            <w:noWrap/>
            <w:vAlign w:val="center"/>
          </w:tcPr>
          <w:p>
            <w:pPr>
              <w:widowControl/>
              <w:textAlignment w:val="bottom"/>
              <w:rPr>
                <w:rFonts w:ascii="宋体" w:hAnsi="宋体" w:cs="宋体"/>
                <w:color w:val="000000"/>
                <w:sz w:val="22"/>
                <w:szCs w:val="22"/>
              </w:rPr>
            </w:pPr>
            <w:r>
              <w:rPr>
                <w:rFonts w:hint="eastAsia" w:ascii="宋体" w:hAnsi="宋体" w:cs="宋体"/>
                <w:color w:val="000000"/>
                <w:kern w:val="0"/>
                <w:sz w:val="22"/>
                <w:szCs w:val="22"/>
                <w:lang w:bidi="ar"/>
              </w:rPr>
              <w:t>广西壮族自治区黎塘工业瓷厂</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19</w:t>
            </w:r>
          </w:p>
        </w:tc>
        <w:tc>
          <w:tcPr>
            <w:tcW w:w="8153" w:type="dxa"/>
            <w:noWrap/>
            <w:vAlign w:val="center"/>
          </w:tcPr>
          <w:p>
            <w:pPr>
              <w:widowControl/>
              <w:textAlignment w:val="bottom"/>
              <w:rPr>
                <w:rFonts w:ascii="宋体" w:hAnsi="宋体" w:cs="宋体"/>
                <w:color w:val="000000"/>
                <w:sz w:val="22"/>
                <w:szCs w:val="22"/>
              </w:rPr>
            </w:pPr>
            <w:r>
              <w:rPr>
                <w:rFonts w:hint="eastAsia" w:ascii="宋体" w:hAnsi="宋体" w:cs="宋体"/>
                <w:color w:val="000000"/>
                <w:kern w:val="0"/>
                <w:sz w:val="22"/>
                <w:szCs w:val="22"/>
                <w:lang w:bidi="ar"/>
              </w:rPr>
              <w:t>中桂电力设备有限公司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spacing w:line="280" w:lineRule="exact"/>
              <w:jc w:val="center"/>
              <w:textAlignment w:val="center"/>
              <w:rPr>
                <w:rFonts w:ascii="宋体" w:hAnsi="宋体" w:cs="宋体"/>
                <w:color w:val="000000"/>
                <w:sz w:val="22"/>
                <w:szCs w:val="22"/>
              </w:rPr>
            </w:pPr>
            <w:r>
              <w:rPr>
                <w:rFonts w:hint="eastAsia" w:ascii="宋体" w:hAnsi="宋体" w:cs="宋体"/>
                <w:color w:val="000000"/>
                <w:sz w:val="22"/>
                <w:szCs w:val="22"/>
              </w:rPr>
              <w:t>20</w:t>
            </w:r>
          </w:p>
        </w:tc>
        <w:tc>
          <w:tcPr>
            <w:tcW w:w="8153" w:type="dxa"/>
            <w:noWrap/>
            <w:vAlign w:val="center"/>
          </w:tcPr>
          <w:p>
            <w:pPr>
              <w:widowControl/>
              <w:textAlignment w:val="center"/>
              <w:rPr>
                <w:rFonts w:ascii="宋体" w:hAnsi="宋体" w:cs="宋体"/>
                <w:color w:val="000000"/>
                <w:sz w:val="22"/>
                <w:szCs w:val="22"/>
              </w:rPr>
            </w:pPr>
            <w:r>
              <w:rPr>
                <w:rFonts w:hint="eastAsia" w:ascii="宋体" w:hAnsi="宋体" w:cs="宋体"/>
                <w:color w:val="000000"/>
                <w:kern w:val="0"/>
                <w:sz w:val="22"/>
                <w:szCs w:val="22"/>
                <w:lang w:bidi="ar"/>
              </w:rPr>
              <w:t>广西三维铁路轨道制造有限公司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hint="eastAsia" w:ascii="宋体" w:hAnsi="宋体" w:cs="宋体"/>
                <w:color w:val="000000"/>
                <w:sz w:val="22"/>
                <w:szCs w:val="22"/>
              </w:rPr>
            </w:pPr>
            <w:r>
              <w:rPr>
                <w:rFonts w:hint="eastAsia" w:ascii="宋体" w:hAnsi="宋体" w:cs="宋体"/>
                <w:color w:val="000000"/>
                <w:sz w:val="22"/>
                <w:szCs w:val="22"/>
              </w:rPr>
              <w:t>21</w:t>
            </w:r>
          </w:p>
        </w:tc>
        <w:tc>
          <w:tcPr>
            <w:tcW w:w="8153" w:type="dxa"/>
            <w:noWrap/>
            <w:vAlign w:val="center"/>
          </w:tcPr>
          <w:p>
            <w:pPr>
              <w:widowControl/>
              <w:textAlignment w:val="center"/>
              <w:rPr>
                <w:rFonts w:hint="eastAsia"/>
                <w:color w:val="000000"/>
                <w:sz w:val="22"/>
                <w:szCs w:val="22"/>
              </w:rPr>
            </w:pPr>
            <w:r>
              <w:rPr>
                <w:rFonts w:ascii="宋体" w:hAnsi="宋体" w:cs="宋体"/>
                <w:color w:val="000000"/>
                <w:kern w:val="0"/>
                <w:sz w:val="22"/>
                <w:szCs w:val="22"/>
                <w:lang w:bidi="ar"/>
              </w:rPr>
              <w:t>广西宾阳力拓新型建材有限公司</w:t>
            </w:r>
          </w:p>
        </w:tc>
        <w:tc>
          <w:tcPr>
            <w:tcW w:w="1380" w:type="dxa"/>
            <w:noWrap/>
            <w:vAlign w:val="center"/>
          </w:tcPr>
          <w:p>
            <w:pPr>
              <w:widowControl/>
              <w:spacing w:line="280" w:lineRule="exact"/>
              <w:jc w:val="center"/>
              <w:textAlignment w:val="center"/>
              <w:rPr>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hint="eastAsia" w:ascii="宋体" w:hAnsi="宋体" w:cs="宋体"/>
                <w:color w:val="000000"/>
                <w:sz w:val="22"/>
                <w:szCs w:val="22"/>
              </w:rPr>
            </w:pPr>
            <w:r>
              <w:rPr>
                <w:rFonts w:hint="eastAsia" w:ascii="宋体" w:hAnsi="宋体" w:cs="宋体"/>
                <w:color w:val="000000"/>
                <w:sz w:val="22"/>
                <w:szCs w:val="22"/>
              </w:rPr>
              <w:t>22</w:t>
            </w:r>
          </w:p>
        </w:tc>
        <w:tc>
          <w:tcPr>
            <w:tcW w:w="8153" w:type="dxa"/>
            <w:noWrap/>
            <w:vAlign w:val="center"/>
          </w:tcPr>
          <w:p>
            <w:pPr>
              <w:widowControl/>
              <w:textAlignment w:val="center"/>
              <w:rPr>
                <w:rFonts w:hint="eastAsia"/>
                <w:color w:val="000000"/>
                <w:sz w:val="22"/>
                <w:szCs w:val="22"/>
              </w:rPr>
            </w:pPr>
            <w:r>
              <w:rPr>
                <w:rFonts w:hint="eastAsia" w:ascii="宋体" w:hAnsi="宋体" w:cs="宋体"/>
                <w:color w:val="000000"/>
                <w:kern w:val="0"/>
                <w:sz w:val="22"/>
                <w:szCs w:val="22"/>
                <w:lang w:bidi="ar"/>
              </w:rPr>
              <w:t>广西恒源钢结构有限公司</w:t>
            </w:r>
          </w:p>
        </w:tc>
        <w:tc>
          <w:tcPr>
            <w:tcW w:w="1380" w:type="dxa"/>
            <w:noWrap/>
            <w:vAlign w:val="center"/>
          </w:tcPr>
          <w:p>
            <w:pPr>
              <w:widowControl/>
              <w:spacing w:line="280" w:lineRule="exact"/>
              <w:jc w:val="center"/>
              <w:textAlignment w:val="center"/>
              <w:rPr>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hint="eastAsia" w:ascii="宋体" w:hAnsi="宋体" w:cs="宋体"/>
                <w:color w:val="000000"/>
                <w:sz w:val="22"/>
                <w:szCs w:val="22"/>
              </w:rPr>
            </w:pPr>
            <w:r>
              <w:rPr>
                <w:rFonts w:hint="eastAsia" w:ascii="宋体" w:hAnsi="宋体" w:cs="宋体"/>
                <w:color w:val="000000"/>
                <w:sz w:val="22"/>
                <w:szCs w:val="22"/>
              </w:rPr>
              <w:t>23</w:t>
            </w:r>
          </w:p>
        </w:tc>
        <w:tc>
          <w:tcPr>
            <w:tcW w:w="8153" w:type="dxa"/>
            <w:noWrap/>
            <w:vAlign w:val="center"/>
          </w:tcPr>
          <w:p>
            <w:pPr>
              <w:widowControl/>
              <w:spacing w:line="280" w:lineRule="exact"/>
              <w:textAlignment w:val="center"/>
              <w:rPr>
                <w:rFonts w:hint="eastAsia"/>
                <w:color w:val="000000"/>
                <w:sz w:val="22"/>
                <w:szCs w:val="22"/>
              </w:rPr>
            </w:pPr>
            <w:r>
              <w:rPr>
                <w:rFonts w:hint="eastAsia" w:ascii="宋体" w:hAnsi="宋体" w:cs="宋体"/>
                <w:color w:val="000000"/>
                <w:kern w:val="0"/>
                <w:sz w:val="22"/>
                <w:szCs w:val="22"/>
                <w:lang w:bidi="ar"/>
              </w:rPr>
              <w:t>广西银塑包装有限公司</w:t>
            </w:r>
          </w:p>
        </w:tc>
        <w:tc>
          <w:tcPr>
            <w:tcW w:w="1380" w:type="dxa"/>
            <w:noWrap/>
            <w:vAlign w:val="center"/>
          </w:tcPr>
          <w:p>
            <w:pPr>
              <w:widowControl/>
              <w:spacing w:line="280" w:lineRule="exact"/>
              <w:jc w:val="center"/>
              <w:textAlignment w:val="center"/>
              <w:rPr>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24</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宾阳县茧丝工贸有限责任公司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25</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南宁市宾阳县嘉利丝业有限公司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26</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南宁市桂合丝业有限公司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27</w:t>
            </w:r>
          </w:p>
        </w:tc>
        <w:tc>
          <w:tcPr>
            <w:tcW w:w="8153" w:type="dxa"/>
            <w:noWrap/>
            <w:vAlign w:val="center"/>
          </w:tcPr>
          <w:p>
            <w:pPr>
              <w:widowControl/>
              <w:textAlignment w:val="center"/>
              <w:rPr>
                <w:rFonts w:ascii="宋体" w:hAnsi="宋体" w:cs="宋体"/>
                <w:color w:val="000000"/>
                <w:sz w:val="22"/>
                <w:szCs w:val="22"/>
              </w:rPr>
            </w:pPr>
            <w:r>
              <w:rPr>
                <w:rFonts w:hint="eastAsia" w:ascii="宋体" w:hAnsi="宋体" w:cs="宋体"/>
                <w:color w:val="000000"/>
                <w:kern w:val="0"/>
                <w:sz w:val="22"/>
                <w:szCs w:val="22"/>
                <w:lang w:bidi="ar"/>
              </w:rPr>
              <w:t>广西风向标环保科技有限公司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28</w:t>
            </w:r>
          </w:p>
        </w:tc>
        <w:tc>
          <w:tcPr>
            <w:tcW w:w="8153" w:type="dxa"/>
            <w:noWrap/>
            <w:vAlign w:val="center"/>
          </w:tcPr>
          <w:p>
            <w:pPr>
              <w:widowControl/>
              <w:textAlignment w:val="center"/>
              <w:rPr>
                <w:rFonts w:ascii="宋体" w:hAnsi="宋体" w:cs="宋体"/>
                <w:color w:val="000000"/>
                <w:sz w:val="22"/>
                <w:szCs w:val="22"/>
              </w:rPr>
            </w:pPr>
            <w:r>
              <w:rPr>
                <w:rFonts w:hint="eastAsia" w:ascii="宋体" w:hAnsi="宋体" w:cs="宋体"/>
                <w:color w:val="000000"/>
                <w:kern w:val="0"/>
                <w:sz w:val="22"/>
                <w:szCs w:val="22"/>
                <w:lang w:bidi="ar"/>
              </w:rPr>
              <w:t>广西宾阳县亿能居家俬有限公司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restart"/>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30%比例随机抽查，抽中企业1次/年</w:t>
            </w: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29</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广西糖业集团廖平制糖有限公司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30</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南宁糖业宾阳大桥制糖有限责任公司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31</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广西东林木业有限公司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32</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宾阳县露圩镇鸿兴木材加工厂</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33</w:t>
            </w:r>
          </w:p>
        </w:tc>
        <w:tc>
          <w:tcPr>
            <w:tcW w:w="8153" w:type="dxa"/>
            <w:noWrap/>
            <w:vAlign w:val="center"/>
          </w:tcPr>
          <w:p>
            <w:pPr>
              <w:widowControl/>
              <w:tabs>
                <w:tab w:val="left" w:pos="859"/>
              </w:tabs>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广西雅丽</w:t>
            </w:r>
            <w:r>
              <w:rPr>
                <w:rFonts w:hint="eastAsia" w:ascii="宋体" w:hAnsi="宋体" w:cs="宋体"/>
                <w:color w:val="000000"/>
                <w:kern w:val="0"/>
                <w:sz w:val="22"/>
                <w:szCs w:val="22"/>
                <w:lang w:eastAsia="zh-CN" w:bidi="ar"/>
              </w:rPr>
              <w:t>木</w:t>
            </w:r>
            <w:r>
              <w:rPr>
                <w:rFonts w:hint="eastAsia" w:ascii="宋体" w:hAnsi="宋体" w:cs="宋体"/>
                <w:color w:val="000000"/>
                <w:kern w:val="0"/>
                <w:sz w:val="22"/>
                <w:szCs w:val="22"/>
                <w:lang w:bidi="ar"/>
              </w:rPr>
              <w:t>业有限公司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34</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南宁浮法玻璃有限责任公司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35</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广西银塑包装有限公司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36</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广西宾阳县建华混凝土有限公司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37</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南宁市海利来生物科技有限公司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38</w:t>
            </w:r>
          </w:p>
        </w:tc>
        <w:tc>
          <w:tcPr>
            <w:tcW w:w="8153" w:type="dxa"/>
            <w:noWrap/>
            <w:vAlign w:val="center"/>
          </w:tcPr>
          <w:p>
            <w:pPr>
              <w:widowControl/>
              <w:tabs>
                <w:tab w:val="left" w:pos="1414"/>
              </w:tabs>
              <w:spacing w:line="280" w:lineRule="exact"/>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广西和盈农牧有限公司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39</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广西普乐益生物科技有限公司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40</w:t>
            </w:r>
          </w:p>
        </w:tc>
        <w:tc>
          <w:tcPr>
            <w:tcW w:w="8153" w:type="dxa"/>
            <w:noWrap/>
            <w:vAlign w:val="center"/>
          </w:tcPr>
          <w:p>
            <w:pPr>
              <w:widowControl/>
              <w:tabs>
                <w:tab w:val="left" w:pos="1414"/>
              </w:tabs>
              <w:spacing w:line="280" w:lineRule="exact"/>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华美节能科技（广西）有限公司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41</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宾阳县华明节能玻璃有限责任公司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restart"/>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30%比例随机抽查，抽中企业1次/年</w:t>
            </w: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42</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广西和声电子有限公司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43</w:t>
            </w:r>
          </w:p>
        </w:tc>
        <w:tc>
          <w:tcPr>
            <w:tcW w:w="8153" w:type="dxa"/>
            <w:noWrap/>
            <w:vAlign w:val="center"/>
          </w:tcPr>
          <w:p>
            <w:pPr>
              <w:widowControl/>
              <w:tabs>
                <w:tab w:val="left" w:pos="694"/>
              </w:tabs>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广西岑科电子工业有限公司</w:t>
            </w:r>
            <w:r>
              <w:rPr>
                <w:rFonts w:hint="eastAsia" w:ascii="宋体" w:hAnsi="宋体" w:cs="宋体"/>
                <w:color w:val="000000"/>
                <w:kern w:val="0"/>
                <w:sz w:val="22"/>
                <w:szCs w:val="22"/>
                <w:lang w:bidi="ar"/>
              </w:rPr>
              <w:tab/>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44</w:t>
            </w:r>
          </w:p>
        </w:tc>
        <w:tc>
          <w:tcPr>
            <w:tcW w:w="8153" w:type="dxa"/>
            <w:noWrap/>
            <w:vAlign w:val="center"/>
          </w:tcPr>
          <w:p>
            <w:pPr>
              <w:widowControl/>
              <w:spacing w:line="280" w:lineRule="exact"/>
              <w:textAlignment w:val="center"/>
              <w:rPr>
                <w:rFonts w:ascii="宋体" w:hAnsi="宋体" w:cs="宋体"/>
                <w:color w:val="000000"/>
                <w:sz w:val="22"/>
                <w:szCs w:val="22"/>
              </w:rPr>
            </w:pPr>
            <w:r>
              <w:rPr>
                <w:rFonts w:hint="eastAsia" w:ascii="宋体" w:hAnsi="宋体" w:cs="宋体"/>
                <w:color w:val="000000"/>
                <w:kern w:val="0"/>
                <w:sz w:val="22"/>
                <w:szCs w:val="22"/>
                <w:lang w:bidi="ar"/>
              </w:rPr>
              <w:t>广西晶飞能源科技集团有限公司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工贸</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45</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宾阳吉祥烟花爆竹销售有限公司</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烟花爆竹</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46</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宾阳县定发烟花爆竹有限公司</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烟花爆竹</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47</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南宁市宾阳县丰茂烟花爆竹经营有限公司</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烟花爆竹</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48</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宾阳县达昌烟花爆竹经营有限责任公司</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烟花爆竹</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49</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南宁市吉源烟花爆竹经营有限公司</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烟花爆竹</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50</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宾阳县贵宾烟花爆竹经营有限公司</w:t>
            </w:r>
          </w:p>
        </w:tc>
        <w:tc>
          <w:tcPr>
            <w:tcW w:w="1380" w:type="dxa"/>
            <w:noWrap/>
            <w:vAlign w:val="center"/>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烟花爆竹</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51</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中海油广西销售有限公司贵隆高速黎塘服务区上线加油站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52</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中国石化销售有限公司广西南宁宾阳邹圩加油站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53</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中国石化销售有限公司广西南宁宾阳王灵第二加油站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54</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中国石化销售有限公司广西南宁宾阳商贸城加油站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restart"/>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30%比例随机抽查，抽中企业1次/年</w:t>
            </w: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55</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中国石化销售有限公司广西南宁宾阳立新加油站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56</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中国石化销售有限公司广西南宁宾阳勒马加油站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57</w:t>
            </w:r>
          </w:p>
        </w:tc>
        <w:tc>
          <w:tcPr>
            <w:tcW w:w="8153" w:type="dxa"/>
            <w:noWrap/>
            <w:vAlign w:val="center"/>
          </w:tcPr>
          <w:p>
            <w:pPr>
              <w:widowControl/>
              <w:jc w:val="left"/>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中国石化销售有限公司广西南宁宾阳古辣加油站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58</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中国石化销售有限公司广西南宁宾阳甘棠加油站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59</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中国石化销售有限公司广西南宁宾阳大模加油站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60</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广西辉煌交通石化有限公司王灵上线加油站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61</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中石油宾武加油站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62</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中石油宾阳城西加油站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63</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中石油环球加油站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64</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南宁市宾阳县贝壳加油站有限公司</w:t>
            </w:r>
          </w:p>
        </w:tc>
        <w:tc>
          <w:tcPr>
            <w:tcW w:w="1380" w:type="dxa"/>
            <w:noWrap/>
            <w:vAlign w:val="top"/>
          </w:tcPr>
          <w:p>
            <w:pPr>
              <w:widowControl/>
              <w:spacing w:line="280" w:lineRule="exact"/>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65</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宾阳县黎塘镇永安加油站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66</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宾阳县黎塘镇鹏达加油站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67</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宾阳县露圩顺风加油站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restart"/>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30%比例随机抽查，抽中企业1次/年</w:t>
            </w: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68</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宾阳县古辣供销合作社第二加油站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69</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宾阳县黎塘镇永利加油站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70</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南宁市交投昆仑实业投资有限公司宾州镇东环路加油站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71</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广西强威能源有限公司宾阳和鑫科技园加油站</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72</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广西新洋丰肥业有限公司</w:t>
            </w:r>
          </w:p>
        </w:tc>
        <w:tc>
          <w:tcPr>
            <w:tcW w:w="1380" w:type="dxa"/>
            <w:noWrap/>
            <w:vAlign w:val="top"/>
          </w:tcPr>
          <w:p>
            <w:pPr>
              <w:widowControl/>
              <w:spacing w:line="280" w:lineRule="exact"/>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73</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南宁市英德肥业有限责任公司</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74</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广西新桂派新型肥业有限公司</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75</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广西宾阳县佳成气体有限责任公司</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76</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宾阳县通旺气体销售有限公司</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77</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南宁市宾阳县龙宾气体销售有限公司</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18" w:type="dxa"/>
            <w:noWrap/>
            <w:vAlign w:val="center"/>
          </w:tcPr>
          <w:p>
            <w:pPr>
              <w:jc w:val="center"/>
              <w:textAlignment w:val="center"/>
              <w:rPr>
                <w:rFonts w:ascii="宋体" w:hAnsi="宋体" w:cs="宋体"/>
                <w:color w:val="000000"/>
                <w:sz w:val="22"/>
                <w:szCs w:val="22"/>
              </w:rPr>
            </w:pPr>
            <w:r>
              <w:rPr>
                <w:rFonts w:hint="eastAsia" w:ascii="宋体" w:hAnsi="宋体" w:cs="宋体"/>
                <w:color w:val="000000"/>
                <w:sz w:val="22"/>
                <w:szCs w:val="22"/>
              </w:rPr>
              <w:t>78</w:t>
            </w:r>
          </w:p>
        </w:tc>
        <w:tc>
          <w:tcPr>
            <w:tcW w:w="8153" w:type="dxa"/>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广西尹尚化工有限公司</w:t>
            </w:r>
          </w:p>
        </w:tc>
        <w:tc>
          <w:tcPr>
            <w:tcW w:w="1380" w:type="dxa"/>
            <w:noWrap/>
            <w:vAlign w:val="top"/>
          </w:tcPr>
          <w:p>
            <w:pPr>
              <w:widowControl/>
              <w:spacing w:line="28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w:t>
            </w:r>
          </w:p>
        </w:tc>
        <w:tc>
          <w:tcPr>
            <w:tcW w:w="1440" w:type="dxa"/>
            <w:vMerge w:val="continue"/>
            <w:noWrap/>
            <w:vAlign w:val="center"/>
          </w:tcPr>
          <w:p>
            <w:pPr>
              <w:jc w:val="center"/>
              <w:textAlignment w:val="center"/>
              <w:rPr>
                <w:rFonts w:ascii="宋体" w:hAnsi="宋体" w:cs="宋体"/>
                <w:color w:val="000000"/>
                <w:sz w:val="22"/>
                <w:szCs w:val="22"/>
              </w:rPr>
            </w:pPr>
          </w:p>
        </w:tc>
        <w:tc>
          <w:tcPr>
            <w:tcW w:w="1545" w:type="dxa"/>
            <w:noWrap/>
            <w:vAlign w:val="center"/>
          </w:tcPr>
          <w:p>
            <w:pPr>
              <w:spacing w:line="280" w:lineRule="exact"/>
              <w:jc w:val="center"/>
              <w:textAlignment w:val="center"/>
              <w:rPr>
                <w:rFonts w:hint="eastAsia" w:ascii="宋体" w:hAnsi="宋体" w:cs="宋体"/>
                <w:color w:val="000000"/>
                <w:sz w:val="22"/>
                <w:szCs w:val="22"/>
              </w:rPr>
            </w:pPr>
            <w:r>
              <w:rPr>
                <w:rFonts w:hint="eastAsia" w:ascii="宋体" w:hAnsi="宋体" w:cs="宋体"/>
                <w:color w:val="000000"/>
                <w:sz w:val="22"/>
                <w:szCs w:val="22"/>
              </w:rPr>
              <w:t>2024年全年</w:t>
            </w:r>
          </w:p>
        </w:tc>
      </w:tr>
    </w:tbl>
    <w:p>
      <w:pPr>
        <w:spacing w:line="560" w:lineRule="exact"/>
        <w:rPr>
          <w:rFonts w:ascii="仿宋_GB2312" w:hAnsi="仿宋_GB2312" w:eastAsia="仿宋_GB2312" w:cs="仿宋_GB2312"/>
          <w:color w:val="000000"/>
        </w:rPr>
        <w:sectPr>
          <w:pgSz w:w="16838" w:h="11906" w:orient="landscape"/>
          <w:pgMar w:top="1587" w:right="2098" w:bottom="1474" w:left="1474" w:header="851" w:footer="992" w:gutter="0"/>
          <w:pgNumType w:fmt="numberInDash"/>
          <w:cols w:space="720" w:num="1"/>
          <w:docGrid w:type="lines" w:linePitch="315" w:charSpace="0"/>
        </w:sectPr>
      </w:pPr>
    </w:p>
    <w:p>
      <w:pPr>
        <w:spacing w:line="560" w:lineRule="exact"/>
        <w:rPr>
          <w:rFonts w:hint="eastAsia" w:ascii="黑体" w:hAnsi="黑体" w:eastAsia="黑体" w:cs="黑体"/>
          <w:sz w:val="32"/>
          <w:szCs w:val="32"/>
        </w:rPr>
      </w:pPr>
      <w:r>
        <w:rPr>
          <w:rFonts w:hint="eastAsia" w:ascii="黑体" w:hAnsi="黑体" w:eastAsia="黑体" w:cs="黑体"/>
          <w:sz w:val="32"/>
          <w:szCs w:val="32"/>
        </w:rPr>
        <w:t>附件3</w:t>
      </w:r>
    </w:p>
    <w:p>
      <w:pPr>
        <w:pStyle w:val="2"/>
        <w:ind w:firstLine="0" w:firstLineChars="0"/>
        <w:jc w:val="center"/>
        <w:rPr>
          <w:rFonts w:ascii="方正小标宋简体" w:hAnsi="方正小标宋简体" w:eastAsia="方正小标宋简体" w:cs="方正小标宋简体"/>
          <w:color w:val="FF0000"/>
          <w:sz w:val="36"/>
          <w:szCs w:val="36"/>
        </w:rPr>
      </w:pPr>
      <w:r>
        <w:rPr>
          <w:rFonts w:hint="eastAsia" w:ascii="方正小标宋简体" w:hAnsi="方正小标宋简体" w:eastAsia="方正小标宋简体" w:cs="方正小标宋简体"/>
          <w:sz w:val="36"/>
          <w:szCs w:val="36"/>
        </w:rPr>
        <w:t>执法工作日测算表</w:t>
      </w:r>
    </w:p>
    <w:tbl>
      <w:tblPr>
        <w:tblStyle w:val="6"/>
        <w:tblW w:w="9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5"/>
        <w:gridCol w:w="4969"/>
        <w:gridCol w:w="1599"/>
        <w:gridCol w:w="1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6814" w:type="dxa"/>
            <w:gridSpan w:val="2"/>
            <w:noWrap/>
            <w:vAlign w:val="center"/>
          </w:tcPr>
          <w:p>
            <w:pPr>
              <w:spacing w:line="360" w:lineRule="exact"/>
              <w:ind w:right="-118" w:rightChars="-56"/>
              <w:jc w:val="center"/>
              <w:rPr>
                <w:rFonts w:ascii="黑体" w:hAnsi="黑体" w:eastAsia="黑体" w:cs="黑体"/>
                <w:sz w:val="24"/>
                <w:szCs w:val="22"/>
              </w:rPr>
            </w:pPr>
            <w:r>
              <w:rPr>
                <w:rFonts w:hint="eastAsia" w:ascii="黑体" w:hAnsi="黑体" w:eastAsia="黑体" w:cs="黑体"/>
                <w:sz w:val="24"/>
                <w:szCs w:val="22"/>
              </w:rPr>
              <w:t>项目内容</w:t>
            </w:r>
          </w:p>
        </w:tc>
        <w:tc>
          <w:tcPr>
            <w:tcW w:w="3042" w:type="dxa"/>
            <w:gridSpan w:val="2"/>
            <w:noWrap/>
            <w:vAlign w:val="center"/>
          </w:tcPr>
          <w:p>
            <w:pPr>
              <w:spacing w:line="360" w:lineRule="exact"/>
              <w:ind w:right="-118" w:rightChars="-56"/>
              <w:jc w:val="center"/>
              <w:rPr>
                <w:rFonts w:ascii="黑体" w:hAnsi="黑体" w:eastAsia="黑体" w:cs="黑体"/>
                <w:sz w:val="24"/>
                <w:szCs w:val="22"/>
              </w:rPr>
            </w:pPr>
            <w:r>
              <w:rPr>
                <w:rFonts w:hint="eastAsia" w:ascii="黑体" w:hAnsi="黑体" w:eastAsia="黑体" w:cs="黑体"/>
                <w:sz w:val="24"/>
                <w:szCs w:val="22"/>
              </w:rPr>
              <w:t>工作日数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6814" w:type="dxa"/>
            <w:gridSpan w:val="2"/>
            <w:noWrap/>
            <w:vAlign w:val="center"/>
          </w:tcPr>
          <w:p>
            <w:pPr>
              <w:spacing w:line="360" w:lineRule="exact"/>
              <w:ind w:right="-118" w:rightChars="-56"/>
              <w:jc w:val="center"/>
              <w:rPr>
                <w:rFonts w:ascii="黑体" w:hAnsi="黑体" w:eastAsia="黑体" w:cs="黑体"/>
                <w:sz w:val="24"/>
                <w:szCs w:val="22"/>
              </w:rPr>
            </w:pPr>
            <w:r>
              <w:rPr>
                <w:rFonts w:hint="eastAsia" w:ascii="黑体" w:hAnsi="黑体" w:eastAsia="黑体" w:cs="黑体"/>
                <w:sz w:val="24"/>
                <w:szCs w:val="22"/>
              </w:rPr>
              <w:t>总法定工作日</w:t>
            </w:r>
          </w:p>
        </w:tc>
        <w:tc>
          <w:tcPr>
            <w:tcW w:w="3042" w:type="dxa"/>
            <w:gridSpan w:val="2"/>
            <w:noWrap/>
            <w:vAlign w:val="center"/>
          </w:tcPr>
          <w:p>
            <w:pPr>
              <w:spacing w:line="360" w:lineRule="exact"/>
              <w:ind w:right="-118" w:rightChars="-56"/>
              <w:jc w:val="center"/>
              <w:rPr>
                <w:rFonts w:eastAsia="黑体"/>
                <w:color w:val="FF0000"/>
                <w:szCs w:val="21"/>
              </w:rPr>
            </w:pPr>
            <w:r>
              <w:rPr>
                <w:rFonts w:hint="eastAsia" w:eastAsia="黑体"/>
                <w:color w:val="000000"/>
                <w:szCs w:val="21"/>
              </w:rPr>
              <w:t>3936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1845" w:type="dxa"/>
            <w:vMerge w:val="restart"/>
            <w:noWrap/>
            <w:vAlign w:val="center"/>
          </w:tcPr>
          <w:p>
            <w:pPr>
              <w:spacing w:line="360" w:lineRule="exact"/>
              <w:ind w:right="-118" w:rightChars="-56"/>
              <w:jc w:val="center"/>
              <w:rPr>
                <w:rFonts w:ascii="黑体" w:hAnsi="黑体" w:eastAsia="黑体" w:cs="黑体"/>
                <w:b/>
                <w:bCs/>
                <w:szCs w:val="20"/>
              </w:rPr>
            </w:pPr>
            <w:r>
              <w:rPr>
                <w:rFonts w:hint="eastAsia" w:ascii="黑体" w:hAnsi="黑体" w:eastAsia="黑体" w:cs="黑体"/>
                <w:b/>
                <w:bCs/>
                <w:szCs w:val="20"/>
              </w:rPr>
              <w:t>监督检查工作日</w:t>
            </w:r>
          </w:p>
        </w:tc>
        <w:tc>
          <w:tcPr>
            <w:tcW w:w="4969" w:type="dxa"/>
            <w:noWrap/>
            <w:vAlign w:val="center"/>
          </w:tcPr>
          <w:p>
            <w:pPr>
              <w:spacing w:line="36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合计</w:t>
            </w:r>
          </w:p>
        </w:tc>
        <w:tc>
          <w:tcPr>
            <w:tcW w:w="3042" w:type="dxa"/>
            <w:gridSpan w:val="2"/>
            <w:noWrap/>
            <w:vAlign w:val="center"/>
          </w:tcPr>
          <w:p>
            <w:pPr>
              <w:widowControl/>
              <w:jc w:val="center"/>
              <w:textAlignment w:val="center"/>
              <w:rPr>
                <w:rFonts w:eastAsia="仿宋_GB2312"/>
                <w:color w:val="FF0000"/>
                <w:szCs w:val="21"/>
              </w:rPr>
            </w:pPr>
            <w:r>
              <w:rPr>
                <w:rFonts w:hint="eastAsia" w:ascii="Times New Roman" w:hAnsi="Times New Roman" w:eastAsia="方正仿宋_GBK"/>
                <w:kern w:val="0"/>
                <w:szCs w:val="21"/>
              </w:rPr>
              <w:t>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845" w:type="dxa"/>
            <w:vMerge w:val="continue"/>
            <w:noWrap/>
            <w:vAlign w:val="center"/>
          </w:tcPr>
          <w:p>
            <w:pPr>
              <w:spacing w:line="360" w:lineRule="exact"/>
              <w:ind w:right="-118" w:rightChars="-56"/>
              <w:jc w:val="center"/>
              <w:rPr>
                <w:rFonts w:ascii="黑体" w:hAnsi="黑体" w:eastAsia="黑体" w:cs="黑体"/>
                <w:b/>
                <w:bCs/>
                <w:szCs w:val="20"/>
              </w:rPr>
            </w:pPr>
          </w:p>
        </w:tc>
        <w:tc>
          <w:tcPr>
            <w:tcW w:w="4969" w:type="dxa"/>
            <w:noWrap/>
            <w:vAlign w:val="center"/>
          </w:tcPr>
          <w:p>
            <w:pPr>
              <w:spacing w:line="36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1.重点检查工作日</w:t>
            </w:r>
          </w:p>
        </w:tc>
        <w:tc>
          <w:tcPr>
            <w:tcW w:w="3042" w:type="dxa"/>
            <w:gridSpan w:val="2"/>
            <w:noWrap/>
            <w:vAlign w:val="center"/>
          </w:tcPr>
          <w:p>
            <w:pPr>
              <w:widowControl/>
              <w:jc w:val="center"/>
              <w:textAlignment w:val="center"/>
              <w:rPr>
                <w:rFonts w:hint="eastAsia" w:eastAsia="方正仿宋_GBK"/>
                <w:color w:val="FF0000"/>
                <w:szCs w:val="21"/>
              </w:rPr>
            </w:pPr>
            <w:r>
              <w:rPr>
                <w:rFonts w:hint="eastAsia" w:ascii="Times New Roman" w:hAnsi="Times New Roman" w:eastAsia="方正仿宋_GBK"/>
                <w:kern w:val="0"/>
                <w:szCs w:val="21"/>
              </w:rPr>
              <w:t>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845" w:type="dxa"/>
            <w:vMerge w:val="continue"/>
            <w:noWrap/>
            <w:vAlign w:val="center"/>
          </w:tcPr>
          <w:p>
            <w:pPr>
              <w:spacing w:line="360" w:lineRule="exact"/>
              <w:ind w:right="-118" w:rightChars="-56"/>
              <w:jc w:val="center"/>
              <w:rPr>
                <w:rFonts w:ascii="黑体" w:hAnsi="黑体" w:eastAsia="黑体" w:cs="黑体"/>
                <w:b/>
                <w:bCs/>
                <w:szCs w:val="20"/>
              </w:rPr>
            </w:pPr>
          </w:p>
        </w:tc>
        <w:tc>
          <w:tcPr>
            <w:tcW w:w="4969" w:type="dxa"/>
            <w:noWrap/>
            <w:vAlign w:val="center"/>
          </w:tcPr>
          <w:p>
            <w:pPr>
              <w:spacing w:line="36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2.一般检查工作日</w:t>
            </w:r>
          </w:p>
        </w:tc>
        <w:tc>
          <w:tcPr>
            <w:tcW w:w="3042" w:type="dxa"/>
            <w:gridSpan w:val="2"/>
            <w:noWrap/>
            <w:vAlign w:val="center"/>
          </w:tcPr>
          <w:p>
            <w:pPr>
              <w:widowControl/>
              <w:jc w:val="center"/>
              <w:textAlignment w:val="center"/>
              <w:rPr>
                <w:rFonts w:eastAsia="方正仿宋_GBK"/>
                <w:color w:val="FF0000"/>
                <w:szCs w:val="21"/>
              </w:rPr>
            </w:pPr>
            <w:r>
              <w:rPr>
                <w:rFonts w:hint="eastAsia" w:ascii="Times New Roman" w:hAnsi="Times New Roman" w:eastAsia="方正仿宋_GBK"/>
                <w:kern w:val="0"/>
                <w:szCs w:val="21"/>
              </w:rPr>
              <w:t>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845" w:type="dxa"/>
            <w:vMerge w:val="restart"/>
            <w:noWrap/>
            <w:vAlign w:val="center"/>
          </w:tcPr>
          <w:p>
            <w:pPr>
              <w:spacing w:line="360" w:lineRule="exact"/>
              <w:ind w:right="-118" w:rightChars="-56"/>
              <w:jc w:val="center"/>
              <w:rPr>
                <w:rFonts w:ascii="黑体" w:hAnsi="黑体" w:eastAsia="黑体" w:cs="黑体"/>
                <w:b/>
                <w:bCs/>
                <w:szCs w:val="20"/>
              </w:rPr>
            </w:pPr>
            <w:r>
              <w:rPr>
                <w:rFonts w:hint="eastAsia" w:ascii="黑体" w:hAnsi="黑体" w:eastAsia="黑体" w:cs="黑体"/>
                <w:b/>
                <w:bCs/>
                <w:szCs w:val="20"/>
              </w:rPr>
              <w:t>其他执法工作日</w:t>
            </w:r>
          </w:p>
        </w:tc>
        <w:tc>
          <w:tcPr>
            <w:tcW w:w="4969" w:type="dxa"/>
            <w:noWrap/>
            <w:vAlign w:val="center"/>
          </w:tcPr>
          <w:p>
            <w:pPr>
              <w:spacing w:line="36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合计</w:t>
            </w:r>
          </w:p>
        </w:tc>
        <w:tc>
          <w:tcPr>
            <w:tcW w:w="3042" w:type="dxa"/>
            <w:gridSpan w:val="2"/>
            <w:noWrap/>
            <w:vAlign w:val="center"/>
          </w:tcPr>
          <w:p>
            <w:pPr>
              <w:widowControl/>
              <w:jc w:val="center"/>
              <w:textAlignment w:val="center"/>
              <w:rPr>
                <w:rFonts w:eastAsia="方正仿宋_GBK"/>
                <w:color w:val="FF0000"/>
                <w:szCs w:val="21"/>
              </w:rPr>
            </w:pPr>
            <w:r>
              <w:rPr>
                <w:rFonts w:hint="eastAsia" w:ascii="Times New Roman" w:hAnsi="Times New Roman" w:eastAsia="方正仿宋_GBK"/>
                <w:kern w:val="0"/>
                <w:szCs w:val="21"/>
              </w:rPr>
              <w:t>2098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845" w:type="dxa"/>
            <w:vMerge w:val="continue"/>
            <w:noWrap/>
            <w:vAlign w:val="center"/>
          </w:tcPr>
          <w:p>
            <w:pPr>
              <w:spacing w:line="360" w:lineRule="exact"/>
              <w:ind w:right="-118" w:rightChars="-56"/>
              <w:jc w:val="center"/>
              <w:rPr>
                <w:rFonts w:ascii="黑体" w:hAnsi="黑体" w:eastAsia="黑体" w:cs="黑体"/>
                <w:b/>
                <w:bCs/>
                <w:szCs w:val="20"/>
              </w:rPr>
            </w:pPr>
          </w:p>
        </w:tc>
        <w:tc>
          <w:tcPr>
            <w:tcW w:w="4969" w:type="dxa"/>
            <w:noWrap/>
            <w:vAlign w:val="center"/>
          </w:tcPr>
          <w:p>
            <w:pPr>
              <w:spacing w:line="36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1.开展安全生产综合监管</w:t>
            </w:r>
          </w:p>
        </w:tc>
        <w:tc>
          <w:tcPr>
            <w:tcW w:w="3042" w:type="dxa"/>
            <w:gridSpan w:val="2"/>
            <w:noWrap/>
            <w:vAlign w:val="center"/>
          </w:tcPr>
          <w:p>
            <w:pPr>
              <w:widowControl/>
              <w:jc w:val="center"/>
              <w:textAlignment w:val="center"/>
              <w:rPr>
                <w:rFonts w:eastAsia="仿宋_GB2312"/>
                <w:color w:val="FF0000"/>
                <w:szCs w:val="21"/>
              </w:rPr>
            </w:pPr>
            <w:r>
              <w:rPr>
                <w:rFonts w:hint="eastAsia" w:ascii="Times New Roman" w:hAnsi="Times New Roman" w:eastAsia="方正仿宋_GBK"/>
                <w:kern w:val="0"/>
                <w:szCs w:val="21"/>
              </w:rPr>
              <w:t>768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845" w:type="dxa"/>
            <w:vMerge w:val="continue"/>
            <w:noWrap/>
            <w:vAlign w:val="center"/>
          </w:tcPr>
          <w:p>
            <w:pPr>
              <w:spacing w:line="360" w:lineRule="exact"/>
              <w:ind w:right="-118" w:rightChars="-56"/>
              <w:jc w:val="center"/>
              <w:rPr>
                <w:rFonts w:ascii="黑体" w:hAnsi="黑体" w:eastAsia="黑体" w:cs="黑体"/>
                <w:b/>
                <w:bCs/>
                <w:szCs w:val="20"/>
              </w:rPr>
            </w:pPr>
          </w:p>
        </w:tc>
        <w:tc>
          <w:tcPr>
            <w:tcW w:w="4969" w:type="dxa"/>
            <w:noWrap/>
            <w:vAlign w:val="center"/>
          </w:tcPr>
          <w:p>
            <w:pPr>
              <w:spacing w:line="36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2.实施行政许可（其他权力事项）</w:t>
            </w:r>
          </w:p>
        </w:tc>
        <w:tc>
          <w:tcPr>
            <w:tcW w:w="3042" w:type="dxa"/>
            <w:gridSpan w:val="2"/>
            <w:noWrap/>
            <w:vAlign w:val="center"/>
          </w:tcPr>
          <w:p>
            <w:pPr>
              <w:widowControl/>
              <w:jc w:val="center"/>
              <w:textAlignment w:val="center"/>
              <w:rPr>
                <w:rFonts w:eastAsia="仿宋_GB2312"/>
                <w:color w:val="FF0000"/>
                <w:szCs w:val="21"/>
              </w:rPr>
            </w:pPr>
            <w:r>
              <w:rPr>
                <w:rFonts w:hint="eastAsia" w:ascii="Times New Roman" w:hAnsi="Times New Roman" w:eastAsia="方正仿宋_GBK"/>
                <w:kern w:val="0"/>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845" w:type="dxa"/>
            <w:vMerge w:val="continue"/>
            <w:noWrap/>
            <w:vAlign w:val="center"/>
          </w:tcPr>
          <w:p>
            <w:pPr>
              <w:spacing w:line="360" w:lineRule="exact"/>
              <w:ind w:right="-118" w:rightChars="-56"/>
              <w:jc w:val="center"/>
              <w:rPr>
                <w:rFonts w:ascii="黑体" w:hAnsi="黑体" w:eastAsia="黑体" w:cs="黑体"/>
                <w:b/>
                <w:bCs/>
                <w:szCs w:val="20"/>
              </w:rPr>
            </w:pPr>
          </w:p>
        </w:tc>
        <w:tc>
          <w:tcPr>
            <w:tcW w:w="4969" w:type="dxa"/>
            <w:noWrap/>
            <w:vAlign w:val="center"/>
          </w:tcPr>
          <w:p>
            <w:pPr>
              <w:spacing w:line="36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3.组织或参与生产安全事故调查和处理</w:t>
            </w:r>
          </w:p>
        </w:tc>
        <w:tc>
          <w:tcPr>
            <w:tcW w:w="3042" w:type="dxa"/>
            <w:gridSpan w:val="2"/>
            <w:noWrap/>
            <w:vAlign w:val="center"/>
          </w:tcPr>
          <w:p>
            <w:pPr>
              <w:widowControl/>
              <w:jc w:val="center"/>
              <w:textAlignment w:val="center"/>
              <w:rPr>
                <w:rFonts w:eastAsia="仿宋_GB2312"/>
                <w:color w:val="FF0000"/>
                <w:szCs w:val="21"/>
              </w:rPr>
            </w:pPr>
            <w:r>
              <w:rPr>
                <w:rFonts w:hint="eastAsia" w:ascii="Times New Roman" w:hAnsi="Times New Roman" w:eastAsia="方正仿宋_GBK"/>
                <w:kern w:val="0"/>
                <w:szCs w:val="21"/>
              </w:rPr>
              <w:t>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845" w:type="dxa"/>
            <w:vMerge w:val="continue"/>
            <w:noWrap/>
            <w:vAlign w:val="center"/>
          </w:tcPr>
          <w:p>
            <w:pPr>
              <w:spacing w:line="360" w:lineRule="exact"/>
              <w:ind w:right="-118" w:rightChars="-56"/>
              <w:jc w:val="center"/>
              <w:rPr>
                <w:rFonts w:ascii="黑体" w:hAnsi="黑体" w:eastAsia="黑体" w:cs="黑体"/>
                <w:b/>
                <w:bCs/>
                <w:szCs w:val="20"/>
              </w:rPr>
            </w:pPr>
          </w:p>
        </w:tc>
        <w:tc>
          <w:tcPr>
            <w:tcW w:w="4969" w:type="dxa"/>
            <w:noWrap/>
            <w:vAlign w:val="center"/>
          </w:tcPr>
          <w:p>
            <w:pPr>
              <w:spacing w:line="36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4.调查核实安全生产投诉举报</w:t>
            </w:r>
          </w:p>
        </w:tc>
        <w:tc>
          <w:tcPr>
            <w:tcW w:w="3042" w:type="dxa"/>
            <w:gridSpan w:val="2"/>
            <w:noWrap/>
            <w:vAlign w:val="center"/>
          </w:tcPr>
          <w:p>
            <w:pPr>
              <w:widowControl/>
              <w:jc w:val="center"/>
              <w:textAlignment w:val="center"/>
              <w:rPr>
                <w:rFonts w:eastAsia="仿宋_GB2312"/>
                <w:color w:val="FF0000"/>
                <w:szCs w:val="21"/>
              </w:rPr>
            </w:pPr>
            <w:r>
              <w:rPr>
                <w:rFonts w:hint="eastAsia" w:ascii="Times New Roman" w:hAnsi="Times New Roman" w:eastAsia="方正仿宋_GBK"/>
                <w:kern w:val="0"/>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845" w:type="dxa"/>
            <w:vMerge w:val="continue"/>
            <w:noWrap/>
            <w:vAlign w:val="center"/>
          </w:tcPr>
          <w:p>
            <w:pPr>
              <w:spacing w:line="360" w:lineRule="exact"/>
              <w:ind w:right="-118" w:rightChars="-56"/>
              <w:jc w:val="center"/>
              <w:rPr>
                <w:rFonts w:ascii="黑体" w:hAnsi="黑体" w:eastAsia="黑体" w:cs="黑体"/>
                <w:b/>
                <w:bCs/>
                <w:szCs w:val="20"/>
              </w:rPr>
            </w:pPr>
          </w:p>
        </w:tc>
        <w:tc>
          <w:tcPr>
            <w:tcW w:w="4969" w:type="dxa"/>
            <w:noWrap/>
            <w:vAlign w:val="center"/>
          </w:tcPr>
          <w:p>
            <w:pPr>
              <w:spacing w:line="36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5.参加有关部门联合执法</w:t>
            </w:r>
          </w:p>
        </w:tc>
        <w:tc>
          <w:tcPr>
            <w:tcW w:w="3042" w:type="dxa"/>
            <w:gridSpan w:val="2"/>
            <w:noWrap/>
            <w:vAlign w:val="center"/>
          </w:tcPr>
          <w:p>
            <w:pPr>
              <w:widowControl/>
              <w:jc w:val="center"/>
              <w:textAlignment w:val="center"/>
              <w:rPr>
                <w:rFonts w:eastAsia="仿宋_GB2312"/>
                <w:color w:val="FF0000"/>
                <w:szCs w:val="21"/>
              </w:rPr>
            </w:pPr>
            <w:r>
              <w:rPr>
                <w:rFonts w:hint="eastAsia" w:ascii="Times New Roman" w:hAnsi="Times New Roman" w:eastAsia="方正仿宋_GBK"/>
                <w:kern w:val="0"/>
                <w:szCs w:val="21"/>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845" w:type="dxa"/>
            <w:vMerge w:val="continue"/>
            <w:noWrap/>
            <w:vAlign w:val="center"/>
          </w:tcPr>
          <w:p>
            <w:pPr>
              <w:spacing w:line="360" w:lineRule="exact"/>
              <w:ind w:right="-118" w:rightChars="-56"/>
              <w:jc w:val="center"/>
              <w:rPr>
                <w:rFonts w:ascii="黑体" w:hAnsi="黑体" w:eastAsia="黑体" w:cs="黑体"/>
                <w:b/>
                <w:bCs/>
                <w:szCs w:val="20"/>
              </w:rPr>
            </w:pPr>
          </w:p>
        </w:tc>
        <w:tc>
          <w:tcPr>
            <w:tcW w:w="4969" w:type="dxa"/>
            <w:noWrap/>
            <w:vAlign w:val="center"/>
          </w:tcPr>
          <w:p>
            <w:pPr>
              <w:spacing w:line="36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6.开展或参加安全生产宣传教育培训</w:t>
            </w:r>
          </w:p>
        </w:tc>
        <w:tc>
          <w:tcPr>
            <w:tcW w:w="3042" w:type="dxa"/>
            <w:gridSpan w:val="2"/>
            <w:noWrap/>
            <w:vAlign w:val="center"/>
          </w:tcPr>
          <w:p>
            <w:pPr>
              <w:widowControl/>
              <w:jc w:val="center"/>
              <w:textAlignment w:val="center"/>
              <w:rPr>
                <w:rFonts w:eastAsia="仿宋_GB2312"/>
                <w:color w:val="FF0000"/>
                <w:szCs w:val="21"/>
              </w:rPr>
            </w:pPr>
            <w:r>
              <w:rPr>
                <w:rFonts w:hint="eastAsia" w:ascii="Times New Roman" w:hAnsi="Times New Roman" w:eastAsia="方正仿宋_GBK"/>
                <w:kern w:val="0"/>
                <w:szCs w:val="21"/>
              </w:rPr>
              <w:t>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845" w:type="dxa"/>
            <w:vMerge w:val="continue"/>
            <w:noWrap/>
            <w:vAlign w:val="center"/>
          </w:tcPr>
          <w:p>
            <w:pPr>
              <w:spacing w:line="360" w:lineRule="exact"/>
              <w:ind w:right="-118" w:rightChars="-56"/>
              <w:jc w:val="center"/>
              <w:rPr>
                <w:rFonts w:ascii="黑体" w:hAnsi="黑体" w:eastAsia="黑体" w:cs="黑体"/>
                <w:b/>
                <w:bCs/>
                <w:szCs w:val="20"/>
              </w:rPr>
            </w:pPr>
          </w:p>
        </w:tc>
        <w:tc>
          <w:tcPr>
            <w:tcW w:w="4969" w:type="dxa"/>
            <w:noWrap/>
            <w:vAlign w:val="center"/>
          </w:tcPr>
          <w:p>
            <w:pPr>
              <w:spacing w:line="36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7.办理行政复议、行政应诉</w:t>
            </w:r>
          </w:p>
        </w:tc>
        <w:tc>
          <w:tcPr>
            <w:tcW w:w="3042" w:type="dxa"/>
            <w:gridSpan w:val="2"/>
            <w:noWrap/>
            <w:vAlign w:val="center"/>
          </w:tcPr>
          <w:p>
            <w:pPr>
              <w:widowControl/>
              <w:jc w:val="center"/>
              <w:textAlignment w:val="center"/>
              <w:rPr>
                <w:rFonts w:eastAsia="仿宋_GB2312"/>
                <w:color w:val="FF0000"/>
                <w:szCs w:val="21"/>
              </w:rPr>
            </w:pPr>
            <w:r>
              <w:rPr>
                <w:rFonts w:hint="eastAsia" w:ascii="Times New Roman" w:hAnsi="Times New Roman" w:eastAsia="方正仿宋_GBK"/>
                <w:kern w:val="0"/>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845" w:type="dxa"/>
            <w:vMerge w:val="continue"/>
            <w:noWrap/>
            <w:vAlign w:val="center"/>
          </w:tcPr>
          <w:p>
            <w:pPr>
              <w:spacing w:line="360" w:lineRule="exact"/>
              <w:ind w:right="-118" w:rightChars="-56"/>
              <w:jc w:val="center"/>
              <w:rPr>
                <w:rFonts w:ascii="黑体" w:hAnsi="黑体" w:eastAsia="黑体" w:cs="黑体"/>
                <w:b/>
                <w:bCs/>
                <w:szCs w:val="20"/>
              </w:rPr>
            </w:pPr>
          </w:p>
        </w:tc>
        <w:tc>
          <w:tcPr>
            <w:tcW w:w="4969" w:type="dxa"/>
            <w:noWrap/>
            <w:vAlign w:val="center"/>
          </w:tcPr>
          <w:p>
            <w:pPr>
              <w:spacing w:line="32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8.对各</w:t>
            </w:r>
            <w:r>
              <w:rPr>
                <w:rFonts w:hint="eastAsia" w:ascii="仿宋_GB2312" w:hAnsi="仿宋_GB2312" w:eastAsia="仿宋_GB2312" w:cs="仿宋_GB2312"/>
                <w:color w:val="000000"/>
                <w:szCs w:val="21"/>
              </w:rPr>
              <w:t>镇</w:t>
            </w:r>
            <w:r>
              <w:rPr>
                <w:rFonts w:hint="eastAsia" w:ascii="仿宋_GB2312" w:hAnsi="仿宋_GB2312" w:eastAsia="仿宋_GB2312" w:cs="仿宋_GB2312"/>
                <w:szCs w:val="21"/>
              </w:rPr>
              <w:t>隐患类安全生产违法违规行为的督办</w:t>
            </w:r>
          </w:p>
        </w:tc>
        <w:tc>
          <w:tcPr>
            <w:tcW w:w="3042" w:type="dxa"/>
            <w:gridSpan w:val="2"/>
            <w:noWrap/>
            <w:vAlign w:val="center"/>
          </w:tcPr>
          <w:p>
            <w:pPr>
              <w:widowControl/>
              <w:jc w:val="center"/>
              <w:textAlignment w:val="center"/>
              <w:rPr>
                <w:rFonts w:eastAsia="仿宋_GB2312"/>
                <w:color w:val="FF0000"/>
                <w:szCs w:val="21"/>
              </w:rPr>
            </w:pPr>
            <w:r>
              <w:rPr>
                <w:rFonts w:hint="eastAsia" w:ascii="Times New Roman" w:hAnsi="Times New Roman" w:eastAsia="方正仿宋_GBK"/>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845" w:type="dxa"/>
            <w:vMerge w:val="continue"/>
            <w:noWrap/>
            <w:vAlign w:val="center"/>
          </w:tcPr>
          <w:p>
            <w:pPr>
              <w:spacing w:line="360" w:lineRule="exact"/>
              <w:ind w:right="-118" w:rightChars="-56"/>
              <w:jc w:val="center"/>
              <w:rPr>
                <w:rFonts w:ascii="黑体" w:hAnsi="黑体" w:eastAsia="黑体" w:cs="黑体"/>
                <w:b/>
                <w:bCs/>
                <w:szCs w:val="20"/>
              </w:rPr>
            </w:pPr>
          </w:p>
        </w:tc>
        <w:tc>
          <w:tcPr>
            <w:tcW w:w="4969" w:type="dxa"/>
            <w:noWrap/>
            <w:vAlign w:val="center"/>
          </w:tcPr>
          <w:p>
            <w:pPr>
              <w:spacing w:line="32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9.完成本级人民政府或者上级应急管理部门安排的执法工作任务</w:t>
            </w:r>
          </w:p>
        </w:tc>
        <w:tc>
          <w:tcPr>
            <w:tcW w:w="3042" w:type="dxa"/>
            <w:gridSpan w:val="2"/>
            <w:noWrap/>
            <w:vAlign w:val="center"/>
          </w:tcPr>
          <w:p>
            <w:pPr>
              <w:widowControl/>
              <w:jc w:val="center"/>
              <w:textAlignment w:val="center"/>
              <w:rPr>
                <w:rFonts w:eastAsia="仿宋_GB2312"/>
                <w:color w:val="FF0000"/>
                <w:szCs w:val="21"/>
              </w:rPr>
            </w:pPr>
            <w:r>
              <w:rPr>
                <w:rFonts w:hint="eastAsia" w:ascii="Times New Roman" w:hAnsi="Times New Roman" w:eastAsia="方正仿宋_GBK"/>
                <w:kern w:val="0"/>
                <w:szCs w:val="21"/>
              </w:rPr>
              <w:t>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1845" w:type="dxa"/>
            <w:vMerge w:val="restart"/>
            <w:noWrap/>
            <w:vAlign w:val="center"/>
          </w:tcPr>
          <w:p>
            <w:pPr>
              <w:spacing w:line="360" w:lineRule="exact"/>
              <w:ind w:right="-118" w:rightChars="-56"/>
              <w:jc w:val="center"/>
              <w:rPr>
                <w:rFonts w:ascii="黑体" w:hAnsi="黑体" w:eastAsia="黑体" w:cs="黑体"/>
                <w:b/>
                <w:bCs/>
                <w:szCs w:val="20"/>
              </w:rPr>
            </w:pPr>
            <w:r>
              <w:rPr>
                <w:rFonts w:hint="eastAsia" w:ascii="黑体" w:hAnsi="黑体" w:eastAsia="黑体" w:cs="黑体"/>
                <w:b/>
                <w:bCs/>
                <w:szCs w:val="20"/>
              </w:rPr>
              <w:t>非执法工作日</w:t>
            </w:r>
          </w:p>
        </w:tc>
        <w:tc>
          <w:tcPr>
            <w:tcW w:w="4969" w:type="dxa"/>
            <w:noWrap/>
            <w:vAlign w:val="center"/>
          </w:tcPr>
          <w:p>
            <w:pPr>
              <w:spacing w:line="36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合计</w:t>
            </w:r>
          </w:p>
        </w:tc>
        <w:tc>
          <w:tcPr>
            <w:tcW w:w="3042" w:type="dxa"/>
            <w:gridSpan w:val="2"/>
            <w:noWrap/>
            <w:vAlign w:val="center"/>
          </w:tcPr>
          <w:p>
            <w:pPr>
              <w:widowControl/>
              <w:jc w:val="center"/>
              <w:textAlignment w:val="center"/>
              <w:rPr>
                <w:rFonts w:eastAsia="仿宋_GB2312"/>
                <w:color w:val="FF0000"/>
                <w:szCs w:val="21"/>
              </w:rPr>
            </w:pPr>
            <w:r>
              <w:rPr>
                <w:rFonts w:hint="eastAsia" w:ascii="Times New Roman" w:hAnsi="Times New Roman" w:eastAsia="方正仿宋_GBK"/>
                <w:kern w:val="0"/>
                <w:szCs w:val="21"/>
              </w:rPr>
              <w:t>1390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1845" w:type="dxa"/>
            <w:vMerge w:val="continue"/>
            <w:noWrap/>
            <w:vAlign w:val="top"/>
          </w:tcPr>
          <w:p>
            <w:pPr>
              <w:spacing w:line="360" w:lineRule="exact"/>
              <w:ind w:right="-118" w:rightChars="-56"/>
              <w:jc w:val="center"/>
              <w:rPr>
                <w:rFonts w:ascii="黑体" w:hAnsi="黑体" w:eastAsia="黑体" w:cs="黑体"/>
                <w:b/>
                <w:bCs/>
                <w:szCs w:val="20"/>
              </w:rPr>
            </w:pPr>
          </w:p>
        </w:tc>
        <w:tc>
          <w:tcPr>
            <w:tcW w:w="4969" w:type="dxa"/>
            <w:noWrap/>
            <w:vAlign w:val="center"/>
          </w:tcPr>
          <w:p>
            <w:pPr>
              <w:spacing w:line="36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1.值班</w:t>
            </w:r>
          </w:p>
        </w:tc>
        <w:tc>
          <w:tcPr>
            <w:tcW w:w="3042" w:type="dxa"/>
            <w:gridSpan w:val="2"/>
            <w:noWrap/>
            <w:vAlign w:val="center"/>
          </w:tcPr>
          <w:p>
            <w:pPr>
              <w:widowControl/>
              <w:jc w:val="center"/>
              <w:textAlignment w:val="center"/>
              <w:rPr>
                <w:rFonts w:eastAsia="仿宋_GB2312"/>
                <w:color w:val="FF0000"/>
                <w:szCs w:val="21"/>
              </w:rPr>
            </w:pPr>
            <w:r>
              <w:rPr>
                <w:rFonts w:hint="eastAsia" w:ascii="Times New Roman" w:hAnsi="Times New Roman" w:eastAsia="方正仿宋_GBK"/>
                <w:kern w:val="0"/>
                <w:szCs w:val="21"/>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1845" w:type="dxa"/>
            <w:vMerge w:val="continue"/>
            <w:noWrap/>
            <w:vAlign w:val="top"/>
          </w:tcPr>
          <w:p>
            <w:pPr>
              <w:spacing w:line="360" w:lineRule="exact"/>
              <w:ind w:right="-118" w:rightChars="-56"/>
              <w:jc w:val="center"/>
              <w:rPr>
                <w:rFonts w:ascii="黑体" w:hAnsi="黑体" w:eastAsia="黑体" w:cs="黑体"/>
                <w:b/>
                <w:bCs/>
                <w:szCs w:val="20"/>
              </w:rPr>
            </w:pPr>
          </w:p>
        </w:tc>
        <w:tc>
          <w:tcPr>
            <w:tcW w:w="4969" w:type="dxa"/>
            <w:noWrap/>
            <w:vAlign w:val="center"/>
          </w:tcPr>
          <w:p>
            <w:pPr>
              <w:spacing w:line="36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2.学习、培训、考核、会议</w:t>
            </w:r>
          </w:p>
        </w:tc>
        <w:tc>
          <w:tcPr>
            <w:tcW w:w="3042" w:type="dxa"/>
            <w:gridSpan w:val="2"/>
            <w:noWrap/>
            <w:vAlign w:val="center"/>
          </w:tcPr>
          <w:p>
            <w:pPr>
              <w:widowControl/>
              <w:jc w:val="center"/>
              <w:textAlignment w:val="center"/>
              <w:rPr>
                <w:rFonts w:eastAsia="仿宋_GB2312"/>
                <w:color w:val="FF0000"/>
                <w:szCs w:val="21"/>
              </w:rPr>
            </w:pPr>
            <w:r>
              <w:rPr>
                <w:rFonts w:hint="eastAsia" w:ascii="Times New Roman" w:hAnsi="Times New Roman" w:eastAsia="方正仿宋_GBK"/>
                <w:szCs w:val="21"/>
              </w:rPr>
              <w:t>576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8" w:hRule="atLeast"/>
          <w:jc w:val="center"/>
        </w:trPr>
        <w:tc>
          <w:tcPr>
            <w:tcW w:w="1845" w:type="dxa"/>
            <w:vMerge w:val="continue"/>
            <w:noWrap/>
            <w:vAlign w:val="top"/>
          </w:tcPr>
          <w:p>
            <w:pPr>
              <w:spacing w:line="360" w:lineRule="exact"/>
              <w:ind w:right="-118" w:rightChars="-56"/>
              <w:jc w:val="center"/>
              <w:rPr>
                <w:rFonts w:ascii="黑体" w:hAnsi="黑体" w:eastAsia="黑体" w:cs="黑体"/>
                <w:b/>
                <w:bCs/>
                <w:szCs w:val="20"/>
              </w:rPr>
            </w:pPr>
          </w:p>
        </w:tc>
        <w:tc>
          <w:tcPr>
            <w:tcW w:w="4969" w:type="dxa"/>
            <w:noWrap/>
            <w:vAlign w:val="center"/>
          </w:tcPr>
          <w:p>
            <w:pPr>
              <w:spacing w:line="320" w:lineRule="exact"/>
              <w:ind w:right="-118" w:rightChars="-56"/>
              <w:jc w:val="left"/>
              <w:rPr>
                <w:rFonts w:ascii="仿宋_GB2312" w:hAnsi="仿宋_GB2312" w:eastAsia="仿宋_GB2312" w:cs="仿宋_GB2312"/>
                <w:szCs w:val="21"/>
              </w:rPr>
            </w:pPr>
            <w:r>
              <w:rPr>
                <w:rFonts w:hint="eastAsia" w:ascii="仿宋_GB2312" w:hAnsi="仿宋_GB2312" w:eastAsia="仿宋_GB2312" w:cs="仿宋_GB2312"/>
                <w:szCs w:val="21"/>
              </w:rPr>
              <w:t>3.检查指导下级应急管理部门工作、参加党群活动、病假、事假、法定年休假、探亲假、婚（丧）假资料整理归档、统计分析、档案管理等工作和事项</w:t>
            </w:r>
          </w:p>
        </w:tc>
        <w:tc>
          <w:tcPr>
            <w:tcW w:w="3042" w:type="dxa"/>
            <w:gridSpan w:val="2"/>
            <w:noWrap/>
            <w:vAlign w:val="center"/>
          </w:tcPr>
          <w:p>
            <w:pPr>
              <w:widowControl/>
              <w:jc w:val="center"/>
              <w:textAlignment w:val="center"/>
              <w:rPr>
                <w:rFonts w:eastAsia="仿宋_GB2312"/>
                <w:color w:val="FF0000"/>
                <w:szCs w:val="21"/>
              </w:rPr>
            </w:pPr>
            <w:r>
              <w:rPr>
                <w:rFonts w:hint="eastAsia" w:ascii="Times New Roman" w:hAnsi="Times New Roman" w:eastAsia="方正仿宋_GBK"/>
                <w:szCs w:val="21"/>
              </w:rPr>
              <w:t>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1845" w:type="dxa"/>
            <w:vMerge w:val="restart"/>
            <w:noWrap/>
            <w:vAlign w:val="center"/>
          </w:tcPr>
          <w:p>
            <w:pPr>
              <w:spacing w:line="360" w:lineRule="exact"/>
              <w:ind w:right="-118" w:rightChars="-56"/>
              <w:jc w:val="center"/>
              <w:rPr>
                <w:rFonts w:ascii="黑体" w:hAnsi="黑体" w:eastAsia="黑体" w:cs="黑体"/>
                <w:b/>
                <w:bCs/>
                <w:szCs w:val="20"/>
              </w:rPr>
            </w:pPr>
            <w:r>
              <w:rPr>
                <w:rFonts w:hint="eastAsia" w:ascii="黑体" w:hAnsi="黑体" w:eastAsia="黑体" w:cs="黑体"/>
                <w:b/>
                <w:bCs/>
                <w:szCs w:val="20"/>
              </w:rPr>
              <w:t>执法人员比例</w:t>
            </w:r>
          </w:p>
        </w:tc>
        <w:tc>
          <w:tcPr>
            <w:tcW w:w="4969" w:type="dxa"/>
            <w:noWrap/>
            <w:vAlign w:val="center"/>
          </w:tcPr>
          <w:p>
            <w:pPr>
              <w:spacing w:line="360" w:lineRule="exact"/>
              <w:ind w:right="-118" w:rightChars="-56"/>
              <w:jc w:val="center"/>
              <w:rPr>
                <w:rFonts w:ascii="仿宋_GB2312" w:hAnsi="仿宋_GB2312" w:eastAsia="仿宋_GB2312" w:cs="仿宋_GB2312"/>
                <w:szCs w:val="21"/>
              </w:rPr>
            </w:pPr>
            <w:r>
              <w:rPr>
                <w:rFonts w:hint="eastAsia" w:ascii="仿宋_GB2312" w:hAnsi="仿宋_GB2312" w:eastAsia="仿宋_GB2312" w:cs="仿宋_GB2312"/>
                <w:szCs w:val="21"/>
              </w:rPr>
              <w:t>从事安全生产监督检查在册人数</w:t>
            </w:r>
          </w:p>
        </w:tc>
        <w:tc>
          <w:tcPr>
            <w:tcW w:w="1599" w:type="dxa"/>
            <w:noWrap/>
            <w:vAlign w:val="center"/>
          </w:tcPr>
          <w:p>
            <w:pPr>
              <w:spacing w:line="360" w:lineRule="exact"/>
              <w:ind w:right="-118" w:rightChars="-56"/>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执法人员数</w:t>
            </w:r>
          </w:p>
        </w:tc>
        <w:tc>
          <w:tcPr>
            <w:tcW w:w="1443" w:type="dxa"/>
            <w:noWrap/>
            <w:vAlign w:val="center"/>
          </w:tcPr>
          <w:p>
            <w:pPr>
              <w:spacing w:line="360" w:lineRule="exact"/>
              <w:ind w:right="-118" w:rightChars="-56"/>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845" w:type="dxa"/>
            <w:vMerge w:val="continue"/>
            <w:noWrap/>
            <w:vAlign w:val="top"/>
          </w:tcPr>
          <w:p>
            <w:pPr>
              <w:spacing w:line="360" w:lineRule="exact"/>
              <w:ind w:right="-118" w:rightChars="-56"/>
              <w:jc w:val="center"/>
              <w:rPr>
                <w:rFonts w:ascii="黑体" w:hAnsi="黑体" w:eastAsia="黑体" w:cs="黑体"/>
                <w:sz w:val="24"/>
                <w:szCs w:val="22"/>
              </w:rPr>
            </w:pPr>
          </w:p>
        </w:tc>
        <w:tc>
          <w:tcPr>
            <w:tcW w:w="4969" w:type="dxa"/>
            <w:noWrap/>
            <w:vAlign w:val="center"/>
          </w:tcPr>
          <w:p>
            <w:pPr>
              <w:spacing w:line="360" w:lineRule="exact"/>
              <w:ind w:right="-118" w:rightChars="-56"/>
              <w:jc w:val="center"/>
              <w:rPr>
                <w:rFonts w:eastAsia="仿宋_GB2312"/>
                <w:color w:val="000000"/>
                <w:szCs w:val="21"/>
              </w:rPr>
            </w:pPr>
            <w:r>
              <w:rPr>
                <w:rFonts w:hint="eastAsia" w:eastAsia="仿宋_GB2312"/>
                <w:color w:val="000000"/>
                <w:szCs w:val="21"/>
              </w:rPr>
              <w:t>20</w:t>
            </w:r>
          </w:p>
        </w:tc>
        <w:tc>
          <w:tcPr>
            <w:tcW w:w="1599" w:type="dxa"/>
            <w:noWrap/>
            <w:vAlign w:val="center"/>
          </w:tcPr>
          <w:p>
            <w:pPr>
              <w:spacing w:line="360" w:lineRule="exact"/>
              <w:ind w:right="-118" w:rightChars="-56"/>
              <w:jc w:val="center"/>
              <w:rPr>
                <w:rFonts w:eastAsia="仿宋_GB2312"/>
                <w:color w:val="000000"/>
                <w:szCs w:val="21"/>
              </w:rPr>
            </w:pPr>
            <w:r>
              <w:rPr>
                <w:rFonts w:hint="eastAsia" w:eastAsia="仿宋_GB2312"/>
                <w:color w:val="000000"/>
                <w:szCs w:val="21"/>
              </w:rPr>
              <w:t>16</w:t>
            </w:r>
          </w:p>
        </w:tc>
        <w:tc>
          <w:tcPr>
            <w:tcW w:w="1443" w:type="dxa"/>
            <w:noWrap/>
            <w:vAlign w:val="center"/>
          </w:tcPr>
          <w:p>
            <w:pPr>
              <w:spacing w:line="360" w:lineRule="exact"/>
              <w:ind w:right="-118" w:rightChars="-56"/>
              <w:jc w:val="center"/>
              <w:rPr>
                <w:rFonts w:eastAsia="仿宋_GB2312"/>
                <w:color w:val="000000"/>
                <w:szCs w:val="21"/>
              </w:rPr>
            </w:pPr>
            <w:r>
              <w:rPr>
                <w:rFonts w:hint="eastAsia" w:eastAsia="仿宋_GB2312"/>
                <w:color w:val="000000"/>
                <w:szCs w:val="21"/>
              </w:rPr>
              <w:t>80%</w:t>
            </w:r>
          </w:p>
        </w:tc>
      </w:tr>
    </w:tbl>
    <w:p>
      <w:pPr>
        <w:spacing w:line="360" w:lineRule="exact"/>
        <w:ind w:right="-153" w:rightChars="-73" w:firstLine="480" w:firstLineChars="200"/>
        <w:jc w:val="left"/>
        <w:rPr>
          <w:rFonts w:ascii="仿宋_GB2312" w:hAnsi="仿宋_GB2312" w:eastAsia="仿宋_GB2312" w:cs="仿宋_GB2312"/>
          <w:color w:val="000000"/>
          <w:sz w:val="28"/>
          <w:szCs w:val="28"/>
        </w:rPr>
        <w:sectPr>
          <w:pgSz w:w="11906" w:h="16838"/>
          <w:pgMar w:top="2098" w:right="1474" w:bottom="1474" w:left="1587" w:header="851" w:footer="992" w:gutter="0"/>
          <w:pgNumType w:fmt="numberInDash"/>
          <w:cols w:space="720" w:num="1"/>
          <w:docGrid w:linePitch="315" w:charSpace="0"/>
        </w:sectPr>
      </w:pPr>
      <w:r>
        <w:rPr>
          <w:rFonts w:hint="eastAsia" w:ascii="仿宋_GB2312" w:hAnsi="仿宋_GB2312" w:eastAsia="仿宋_GB2312" w:cs="仿宋_GB2312"/>
          <w:sz w:val="24"/>
        </w:rPr>
        <w:t>测算说明：1</w:t>
      </w:r>
      <w:r>
        <w:rPr>
          <w:rFonts w:hint="eastAsia" w:ascii="仿宋_GB2312" w:hAnsi="仿宋_GB2312" w:eastAsia="仿宋_GB2312" w:cs="仿宋_GB2312"/>
          <w:color w:val="000000"/>
          <w:sz w:val="24"/>
        </w:rPr>
        <w:t>.总法定工作日=国家法定工作日×行政执法人员数=监督检查工作日+其他执法工作日+非执法工作日（备注：2024年国家法定工作日246日）。2.其他执法工作日、非执法工作日按照工作计划预测算。3.纳入计算行政执法人员数量的比例不低于从事安全生产监督检查在册人数的70%。</w:t>
      </w:r>
    </w:p>
    <w:p>
      <w:pPr>
        <w:spacing w:line="560" w:lineRule="exact"/>
        <w:rPr>
          <w:rFonts w:hint="eastAsia" w:ascii="黑体" w:hAnsi="黑体" w:eastAsia="黑体" w:cs="黑体"/>
          <w:sz w:val="32"/>
          <w:szCs w:val="32"/>
        </w:rPr>
      </w:pPr>
      <w:r>
        <w:rPr>
          <w:rFonts w:hint="eastAsia" w:ascii="黑体" w:hAnsi="黑体" w:eastAsia="黑体" w:cs="黑体"/>
          <w:sz w:val="32"/>
          <w:szCs w:val="32"/>
        </w:rPr>
        <w:t>附件4</w:t>
      </w:r>
    </w:p>
    <w:p>
      <w:pPr>
        <w:spacing w:line="560" w:lineRule="exact"/>
        <w:jc w:val="center"/>
        <w:rPr>
          <w:rFonts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2024年执法人员名录库</w:t>
      </w:r>
    </w:p>
    <w:p>
      <w:pPr>
        <w:spacing w:line="560" w:lineRule="exact"/>
        <w:ind w:firstLine="640"/>
        <w:rPr>
          <w:rFonts w:ascii="仿宋_GB2312" w:hAnsi="仿宋_GB2312" w:eastAsia="仿宋_GB2312" w:cs="仿宋_GB2312"/>
          <w:color w:val="000000"/>
        </w:rPr>
      </w:pPr>
    </w:p>
    <w:tbl>
      <w:tblPr>
        <w:tblStyle w:val="6"/>
        <w:tblW w:w="13437" w:type="dxa"/>
        <w:tblInd w:w="0" w:type="dxa"/>
        <w:tblLayout w:type="fixed"/>
        <w:tblCellMar>
          <w:top w:w="15" w:type="dxa"/>
          <w:left w:w="15" w:type="dxa"/>
          <w:bottom w:w="15" w:type="dxa"/>
          <w:right w:w="15" w:type="dxa"/>
        </w:tblCellMar>
      </w:tblPr>
      <w:tblGrid>
        <w:gridCol w:w="850"/>
        <w:gridCol w:w="1567"/>
        <w:gridCol w:w="3681"/>
        <w:gridCol w:w="1159"/>
        <w:gridCol w:w="1930"/>
        <w:gridCol w:w="1898"/>
        <w:gridCol w:w="2352"/>
      </w:tblGrid>
      <w:tr>
        <w:tblPrEx>
          <w:tblCellMar>
            <w:top w:w="15" w:type="dxa"/>
            <w:left w:w="15" w:type="dxa"/>
            <w:bottom w:w="15" w:type="dxa"/>
            <w:right w:w="15" w:type="dxa"/>
          </w:tblCellMar>
        </w:tblPrEx>
        <w:trPr>
          <w:trHeight w:val="455" w:hRule="atLeast"/>
          <w:tblHeader/>
        </w:trPr>
        <w:tc>
          <w:tcPr>
            <w:tcW w:w="850"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textAlignment w:val="center"/>
              <w:rPr>
                <w:b/>
                <w:bCs/>
                <w:color w:val="000000"/>
                <w:sz w:val="24"/>
              </w:rPr>
            </w:pPr>
            <w:r>
              <w:rPr>
                <w:b/>
                <w:bCs/>
                <w:color w:val="000000"/>
                <w:sz w:val="24"/>
              </w:rPr>
              <w:t>序号</w:t>
            </w:r>
          </w:p>
        </w:tc>
        <w:tc>
          <w:tcPr>
            <w:tcW w:w="1567"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textAlignment w:val="center"/>
              <w:rPr>
                <w:b/>
                <w:bCs/>
                <w:color w:val="000000"/>
                <w:sz w:val="24"/>
              </w:rPr>
            </w:pPr>
            <w:r>
              <w:rPr>
                <w:b/>
                <w:bCs/>
                <w:color w:val="000000"/>
                <w:sz w:val="24"/>
              </w:rPr>
              <w:t>姓名</w:t>
            </w:r>
          </w:p>
        </w:tc>
        <w:tc>
          <w:tcPr>
            <w:tcW w:w="3681"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textAlignment w:val="center"/>
              <w:rPr>
                <w:b/>
                <w:bCs/>
                <w:color w:val="000000"/>
                <w:sz w:val="24"/>
              </w:rPr>
            </w:pPr>
            <w:r>
              <w:rPr>
                <w:b/>
                <w:bCs/>
                <w:color w:val="000000"/>
                <w:sz w:val="24"/>
              </w:rPr>
              <w:t>工作单位</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textAlignment w:val="center"/>
              <w:rPr>
                <w:b/>
                <w:bCs/>
                <w:color w:val="000000"/>
                <w:sz w:val="24"/>
              </w:rPr>
            </w:pPr>
            <w:r>
              <w:rPr>
                <w:b/>
                <w:bCs/>
                <w:color w:val="000000"/>
                <w:sz w:val="24"/>
              </w:rPr>
              <w:t>性别</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textAlignment w:val="center"/>
              <w:rPr>
                <w:b/>
                <w:bCs/>
                <w:color w:val="000000"/>
                <w:sz w:val="24"/>
              </w:rPr>
            </w:pPr>
            <w:r>
              <w:rPr>
                <w:b/>
                <w:bCs/>
                <w:color w:val="000000"/>
                <w:sz w:val="24"/>
              </w:rPr>
              <w:t>在编性质</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textAlignment w:val="center"/>
              <w:rPr>
                <w:b/>
                <w:bCs/>
                <w:color w:val="000000"/>
                <w:sz w:val="24"/>
              </w:rPr>
            </w:pPr>
            <w:r>
              <w:rPr>
                <w:b/>
                <w:bCs/>
                <w:color w:val="000000"/>
                <w:sz w:val="24"/>
              </w:rPr>
              <w:t>执法范围</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spacing w:line="320" w:lineRule="exact"/>
              <w:jc w:val="center"/>
              <w:textAlignment w:val="center"/>
              <w:rPr>
                <w:b/>
                <w:bCs/>
                <w:color w:val="000000"/>
                <w:sz w:val="24"/>
              </w:rPr>
            </w:pPr>
            <w:r>
              <w:rPr>
                <w:b/>
                <w:bCs/>
                <w:color w:val="000000"/>
                <w:sz w:val="24"/>
              </w:rPr>
              <w:t>证件编号</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color w:val="000000"/>
                <w:sz w:val="22"/>
                <w:szCs w:val="22"/>
              </w:rPr>
            </w:pPr>
            <w:r>
              <w:rPr>
                <w:rFonts w:hint="eastAsia" w:ascii="仿宋_GB2312" w:hAnsi="宋体" w:eastAsia="仿宋_GB2312" w:cs="宋体"/>
                <w:color w:val="000000"/>
                <w:kern w:val="0"/>
                <w:sz w:val="24"/>
              </w:rPr>
              <w:t>1</w:t>
            </w:r>
          </w:p>
        </w:tc>
        <w:tc>
          <w:tcPr>
            <w:tcW w:w="1567" w:type="dxa"/>
            <w:tcBorders>
              <w:top w:val="single" w:color="auto" w:sz="4" w:space="0"/>
              <w:left w:val="single" w:color="000000" w:sz="4" w:space="0"/>
              <w:bottom w:val="single" w:color="000000" w:sz="4" w:space="0"/>
              <w:right w:val="single" w:color="000000" w:sz="4" w:space="0"/>
            </w:tcBorders>
            <w:noWrap/>
            <w:vAlign w:val="top"/>
          </w:tcPr>
          <w:p>
            <w:pPr>
              <w:widowControl/>
              <w:jc w:val="center"/>
              <w:rPr>
                <w:color w:val="000000"/>
                <w:sz w:val="22"/>
                <w:szCs w:val="22"/>
              </w:rPr>
            </w:pPr>
            <w:r>
              <w:rPr>
                <w:rFonts w:hint="eastAsia" w:ascii="仿宋_GB2312" w:hAnsi="宋体" w:eastAsia="仿宋_GB2312" w:cs="宋体"/>
                <w:color w:val="000000"/>
                <w:kern w:val="0"/>
                <w:sz w:val="24"/>
              </w:rPr>
              <w:t>郑宏礼</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宾阳县应急管理局</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color w:val="000000"/>
                <w:sz w:val="22"/>
                <w:szCs w:val="22"/>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公务员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color w:val="000000"/>
                <w:sz w:val="22"/>
                <w:szCs w:val="22"/>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top"/>
          </w:tcPr>
          <w:p>
            <w:pPr>
              <w:widowControl/>
              <w:jc w:val="center"/>
              <w:rPr>
                <w:color w:val="000000"/>
                <w:sz w:val="22"/>
                <w:szCs w:val="22"/>
              </w:rPr>
            </w:pPr>
            <w:r>
              <w:rPr>
                <w:rFonts w:hint="eastAsia" w:ascii="仿宋_GB2312" w:hAnsi="宋体" w:eastAsia="仿宋_GB2312" w:cs="宋体"/>
                <w:color w:val="000000"/>
                <w:kern w:val="0"/>
                <w:sz w:val="24"/>
              </w:rPr>
              <w:t>20010224034</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color w:val="000000"/>
                <w:sz w:val="22"/>
                <w:szCs w:val="22"/>
              </w:rPr>
            </w:pPr>
            <w:r>
              <w:rPr>
                <w:rFonts w:hint="eastAsia" w:ascii="仿宋_GB2312" w:hAnsi="宋体" w:eastAsia="仿宋_GB2312" w:cs="宋体"/>
                <w:color w:val="000000"/>
                <w:kern w:val="0"/>
                <w:sz w:val="24"/>
              </w:rPr>
              <w:t>2</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韦有富</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宾阳县应急管理局</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color w:val="000000"/>
                <w:sz w:val="22"/>
                <w:szCs w:val="22"/>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公务员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color w:val="000000"/>
                <w:sz w:val="22"/>
                <w:szCs w:val="22"/>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20010224010</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color w:val="000000"/>
                <w:sz w:val="22"/>
                <w:szCs w:val="22"/>
              </w:rPr>
            </w:pPr>
            <w:r>
              <w:rPr>
                <w:rFonts w:hint="eastAsia" w:ascii="仿宋_GB2312" w:hAnsi="宋体" w:eastAsia="仿宋_GB2312" w:cs="宋体"/>
                <w:color w:val="000000"/>
                <w:kern w:val="0"/>
                <w:sz w:val="24"/>
              </w:rPr>
              <w:t>3</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方  辉</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宾阳县应急管理局</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color w:val="000000"/>
                <w:sz w:val="22"/>
                <w:szCs w:val="22"/>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公务员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color w:val="000000"/>
                <w:sz w:val="22"/>
                <w:szCs w:val="22"/>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20010224007</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rFonts w:hint="eastAsia"/>
                <w:color w:val="000000"/>
                <w:sz w:val="22"/>
                <w:szCs w:val="22"/>
              </w:rPr>
            </w:pPr>
            <w:r>
              <w:rPr>
                <w:rFonts w:hint="eastAsia" w:ascii="仿宋_GB2312" w:hAnsi="宋体" w:eastAsia="仿宋_GB2312" w:cs="宋体"/>
                <w:color w:val="000000"/>
                <w:kern w:val="0"/>
                <w:sz w:val="24"/>
              </w:rPr>
              <w:t>4</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卢卫宁</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宾阳县应急管理局</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color w:val="000000"/>
                <w:sz w:val="22"/>
                <w:szCs w:val="22"/>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公务员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color w:val="000000"/>
                <w:sz w:val="22"/>
                <w:szCs w:val="22"/>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eastAsia="仿宋_GB2312"/>
                <w:color w:val="000000"/>
                <w:sz w:val="22"/>
                <w:szCs w:val="22"/>
              </w:rPr>
            </w:pPr>
            <w:r>
              <w:rPr>
                <w:rFonts w:hint="eastAsia" w:ascii="仿宋_GB2312" w:hAnsi="宋体" w:eastAsia="仿宋_GB2312" w:cs="宋体"/>
                <w:color w:val="000000"/>
                <w:kern w:val="0"/>
                <w:sz w:val="24"/>
              </w:rPr>
              <w:t>20010224039</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rFonts w:hint="eastAsia"/>
                <w:color w:val="000000"/>
                <w:sz w:val="22"/>
                <w:szCs w:val="22"/>
              </w:rPr>
            </w:pPr>
            <w:r>
              <w:rPr>
                <w:rFonts w:hint="eastAsia" w:ascii="仿宋_GB2312" w:hAnsi="宋体" w:eastAsia="仿宋_GB2312" w:cs="宋体"/>
                <w:color w:val="000000"/>
                <w:kern w:val="0"/>
                <w:sz w:val="24"/>
              </w:rPr>
              <w:t>5</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rFonts w:hint="eastAsia"/>
                <w:color w:val="000000"/>
                <w:sz w:val="22"/>
                <w:szCs w:val="22"/>
              </w:rPr>
            </w:pPr>
            <w:r>
              <w:rPr>
                <w:rFonts w:hint="eastAsia" w:ascii="仿宋_GB2312" w:hAnsi="宋体" w:eastAsia="仿宋_GB2312" w:cs="宋体"/>
                <w:color w:val="000000"/>
                <w:kern w:val="0"/>
                <w:sz w:val="24"/>
              </w:rPr>
              <w:t>吴飞冰</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宾阳县应急管理局</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color w:val="000000"/>
                <w:sz w:val="22"/>
                <w:szCs w:val="22"/>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公务员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color w:val="000000"/>
                <w:sz w:val="22"/>
                <w:szCs w:val="22"/>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20010224005</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rFonts w:hint="eastAsia"/>
                <w:color w:val="000000"/>
                <w:sz w:val="22"/>
                <w:szCs w:val="22"/>
              </w:rPr>
            </w:pPr>
            <w:r>
              <w:rPr>
                <w:rFonts w:hint="eastAsia" w:ascii="仿宋_GB2312" w:hAnsi="宋体" w:eastAsia="仿宋_GB2312" w:cs="宋体"/>
                <w:color w:val="000000"/>
                <w:kern w:val="0"/>
                <w:sz w:val="24"/>
              </w:rPr>
              <w:t>6</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rFonts w:hint="eastAsia"/>
                <w:color w:val="000000"/>
                <w:sz w:val="22"/>
                <w:szCs w:val="22"/>
              </w:rPr>
            </w:pPr>
            <w:r>
              <w:rPr>
                <w:rFonts w:hint="eastAsia" w:ascii="仿宋_GB2312" w:hAnsi="宋体" w:eastAsia="仿宋_GB2312" w:cs="宋体"/>
                <w:color w:val="000000"/>
                <w:kern w:val="0"/>
                <w:sz w:val="24"/>
              </w:rPr>
              <w:t>屈远增</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宾阳县应急管理局</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rFonts w:hint="eastAsia"/>
                <w:color w:val="000000"/>
                <w:sz w:val="22"/>
                <w:szCs w:val="22"/>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公务员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color w:val="000000"/>
                <w:sz w:val="22"/>
                <w:szCs w:val="22"/>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20010224027</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color w:val="000000"/>
                <w:sz w:val="22"/>
                <w:szCs w:val="22"/>
              </w:rPr>
            </w:pPr>
            <w:r>
              <w:rPr>
                <w:rFonts w:hint="eastAsia" w:ascii="仿宋_GB2312" w:hAnsi="宋体" w:eastAsia="仿宋_GB2312" w:cs="宋体"/>
                <w:color w:val="000000"/>
                <w:kern w:val="0"/>
                <w:sz w:val="24"/>
              </w:rPr>
              <w:t>7</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俞平栖</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宾阳县应急管理局</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color w:val="000000"/>
                <w:sz w:val="22"/>
                <w:szCs w:val="22"/>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公务员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color w:val="000000"/>
                <w:sz w:val="22"/>
                <w:szCs w:val="22"/>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20010224006</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color w:val="000000"/>
                <w:sz w:val="22"/>
                <w:szCs w:val="22"/>
              </w:rPr>
            </w:pPr>
            <w:r>
              <w:rPr>
                <w:rFonts w:hint="eastAsia" w:ascii="仿宋_GB2312" w:hAnsi="宋体" w:eastAsia="仿宋_GB2312" w:cs="宋体"/>
                <w:color w:val="000000"/>
                <w:kern w:val="0"/>
                <w:sz w:val="24"/>
              </w:rPr>
              <w:t>8</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rFonts w:hint="eastAsia"/>
                <w:color w:val="000000"/>
                <w:sz w:val="22"/>
                <w:szCs w:val="22"/>
              </w:rPr>
            </w:pPr>
            <w:r>
              <w:rPr>
                <w:rFonts w:hint="eastAsia" w:ascii="仿宋_GB2312" w:hAnsi="宋体" w:eastAsia="仿宋_GB2312" w:cs="宋体"/>
                <w:color w:val="000000"/>
                <w:kern w:val="0"/>
                <w:sz w:val="24"/>
              </w:rPr>
              <w:t>蒙绍春</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宾阳县应急管理局</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color w:val="000000"/>
                <w:sz w:val="22"/>
                <w:szCs w:val="22"/>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公务员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color w:val="000000"/>
                <w:sz w:val="22"/>
                <w:szCs w:val="22"/>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20010224012</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color w:val="000000"/>
                <w:sz w:val="22"/>
                <w:szCs w:val="22"/>
              </w:rPr>
            </w:pPr>
            <w:r>
              <w:rPr>
                <w:rFonts w:hint="eastAsia" w:ascii="仿宋_GB2312" w:hAnsi="宋体" w:eastAsia="仿宋_GB2312" w:cs="宋体"/>
                <w:color w:val="000000"/>
                <w:kern w:val="0"/>
                <w:sz w:val="24"/>
              </w:rPr>
              <w:t>9</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黎俊阳</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宾阳县应急管理局</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color w:val="000000"/>
                <w:sz w:val="22"/>
                <w:szCs w:val="22"/>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公务员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color w:val="000000"/>
                <w:sz w:val="22"/>
                <w:szCs w:val="22"/>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20010224021</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黄忠著</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宾阳县应急管理局</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rFonts w:ascii="仿宋_GB2312" w:hAnsi="宋体" w:eastAsia="仿宋_GB2312" w:cs="宋体"/>
                <w:color w:val="000000"/>
                <w:kern w:val="0"/>
                <w:sz w:val="24"/>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公务员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ascii="仿宋_GB2312" w:hAnsi="宋体" w:eastAsia="仿宋_GB2312" w:cs="宋体"/>
                <w:color w:val="000000"/>
                <w:kern w:val="0"/>
                <w:sz w:val="24"/>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top"/>
          </w:tcPr>
          <w:p>
            <w:pPr>
              <w:widowControl/>
              <w:jc w:val="center"/>
              <w:textAlignment w:val="top"/>
              <w:rPr>
                <w:rFonts w:hint="eastAsia" w:ascii="仿宋_GB2312" w:hAnsi="宋体" w:eastAsia="仿宋_GB2312" w:cs="仿宋_GB2312"/>
                <w:color w:val="000000"/>
                <w:sz w:val="24"/>
              </w:rPr>
            </w:pPr>
            <w:r>
              <w:rPr>
                <w:rFonts w:ascii="仿宋_GB2312" w:hAnsi="宋体" w:eastAsia="仿宋_GB2312" w:cs="仿宋_GB2312"/>
                <w:color w:val="000000"/>
                <w:kern w:val="0"/>
                <w:sz w:val="24"/>
                <w:lang w:bidi="ar"/>
              </w:rPr>
              <w:t>20010224017</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11</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黄立夫</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宾阳县应急管理局</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rFonts w:ascii="仿宋_GB2312" w:hAnsi="宋体" w:eastAsia="仿宋_GB2312" w:cs="宋体"/>
                <w:color w:val="000000"/>
                <w:kern w:val="0"/>
                <w:sz w:val="24"/>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公务员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ascii="仿宋_GB2312" w:hAnsi="宋体" w:eastAsia="仿宋_GB2312" w:cs="宋体"/>
                <w:color w:val="000000"/>
                <w:kern w:val="0"/>
                <w:sz w:val="24"/>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20010224038</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rFonts w:hint="eastAsia"/>
                <w:color w:val="000000"/>
                <w:sz w:val="22"/>
                <w:szCs w:val="22"/>
              </w:rPr>
            </w:pPr>
            <w:r>
              <w:rPr>
                <w:rFonts w:hint="eastAsia" w:ascii="仿宋_GB2312" w:hAnsi="宋体" w:eastAsia="仿宋_GB2312" w:cs="宋体"/>
                <w:color w:val="000000"/>
                <w:kern w:val="0"/>
                <w:sz w:val="24"/>
              </w:rPr>
              <w:t>12</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陈宏伟</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宾阳县安全生产监察大队</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color w:val="000000"/>
                <w:sz w:val="22"/>
                <w:szCs w:val="22"/>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事业单位人员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color w:val="000000"/>
                <w:sz w:val="22"/>
                <w:szCs w:val="22"/>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20010224011</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color w:val="000000"/>
                <w:sz w:val="22"/>
                <w:szCs w:val="22"/>
              </w:rPr>
            </w:pPr>
            <w:r>
              <w:rPr>
                <w:rFonts w:hint="eastAsia" w:ascii="仿宋_GB2312" w:hAnsi="宋体" w:eastAsia="仿宋_GB2312" w:cs="宋体"/>
                <w:color w:val="000000"/>
                <w:kern w:val="0"/>
                <w:sz w:val="24"/>
              </w:rPr>
              <w:t>13</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韦龙瑞</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宾阳县安全生产监察大队</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color w:val="000000"/>
                <w:sz w:val="22"/>
                <w:szCs w:val="22"/>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事业单位人员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color w:val="000000"/>
                <w:sz w:val="22"/>
                <w:szCs w:val="22"/>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20010224013</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color w:val="000000"/>
                <w:sz w:val="22"/>
                <w:szCs w:val="22"/>
              </w:rPr>
            </w:pPr>
            <w:r>
              <w:rPr>
                <w:rFonts w:hint="eastAsia" w:ascii="仿宋_GB2312" w:hAnsi="宋体" w:eastAsia="仿宋_GB2312" w:cs="宋体"/>
                <w:color w:val="000000"/>
                <w:kern w:val="0"/>
                <w:sz w:val="24"/>
              </w:rPr>
              <w:t>14</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吴 馗</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宾阳县安全生产监察大队</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color w:val="000000"/>
                <w:sz w:val="22"/>
                <w:szCs w:val="22"/>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事业单位人员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color w:val="000000"/>
                <w:sz w:val="22"/>
                <w:szCs w:val="22"/>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20010224014</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rFonts w:hint="eastAsia"/>
                <w:color w:val="000000"/>
                <w:sz w:val="22"/>
                <w:szCs w:val="22"/>
              </w:rPr>
            </w:pPr>
            <w:r>
              <w:rPr>
                <w:rFonts w:hint="eastAsia" w:ascii="仿宋_GB2312" w:hAnsi="宋体" w:eastAsia="仿宋_GB2312" w:cs="宋体"/>
                <w:color w:val="000000"/>
                <w:kern w:val="0"/>
                <w:sz w:val="24"/>
              </w:rPr>
              <w:t>15</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rFonts w:hint="eastAsia"/>
                <w:color w:val="000000"/>
                <w:sz w:val="22"/>
                <w:szCs w:val="22"/>
              </w:rPr>
            </w:pPr>
            <w:r>
              <w:rPr>
                <w:rFonts w:hint="eastAsia" w:ascii="仿宋_GB2312" w:hAnsi="宋体" w:eastAsia="仿宋_GB2312" w:cs="宋体"/>
                <w:color w:val="000000"/>
                <w:kern w:val="0"/>
                <w:sz w:val="24"/>
              </w:rPr>
              <w:t>谭家德</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宾阳县安全生产监察大队</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rFonts w:hint="eastAsia"/>
                <w:color w:val="000000"/>
                <w:sz w:val="22"/>
                <w:szCs w:val="22"/>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事业单位人员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color w:val="000000"/>
                <w:sz w:val="22"/>
                <w:szCs w:val="22"/>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20010224008</w:t>
            </w:r>
          </w:p>
        </w:tc>
      </w:tr>
      <w:tr>
        <w:tblPrEx>
          <w:tblCellMar>
            <w:top w:w="15" w:type="dxa"/>
            <w:left w:w="15" w:type="dxa"/>
            <w:bottom w:w="15" w:type="dxa"/>
            <w:right w:w="15" w:type="dxa"/>
          </w:tblCellMar>
        </w:tblPrEx>
        <w:trPr>
          <w:trHeight w:val="478" w:hRule="atLeast"/>
        </w:trPr>
        <w:tc>
          <w:tcPr>
            <w:tcW w:w="850" w:type="dxa"/>
            <w:tcBorders>
              <w:top w:val="single" w:color="auto" w:sz="4" w:space="0"/>
              <w:left w:val="single" w:color="auto" w:sz="4" w:space="0"/>
              <w:bottom w:val="single" w:color="auto" w:sz="4" w:space="0"/>
              <w:right w:val="single" w:color="auto" w:sz="4" w:space="0"/>
            </w:tcBorders>
            <w:noWrap/>
            <w:vAlign w:val="top"/>
          </w:tcPr>
          <w:p>
            <w:pPr>
              <w:widowControl/>
              <w:jc w:val="center"/>
              <w:rPr>
                <w:color w:val="000000"/>
                <w:sz w:val="22"/>
                <w:szCs w:val="22"/>
              </w:rPr>
            </w:pPr>
            <w:r>
              <w:rPr>
                <w:rFonts w:hint="eastAsia" w:ascii="仿宋_GB2312" w:hAnsi="宋体" w:eastAsia="仿宋_GB2312" w:cs="宋体"/>
                <w:color w:val="000000"/>
                <w:kern w:val="0"/>
                <w:sz w:val="24"/>
              </w:rPr>
              <w:t>16</w:t>
            </w:r>
          </w:p>
        </w:tc>
        <w:tc>
          <w:tcPr>
            <w:tcW w:w="1567"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农  谦</w:t>
            </w:r>
          </w:p>
        </w:tc>
        <w:tc>
          <w:tcPr>
            <w:tcW w:w="3681" w:type="dxa"/>
            <w:tcBorders>
              <w:top w:val="single" w:color="auto"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宾阳县安全生产监察大队</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ottom"/>
              <w:rPr>
                <w:color w:val="000000"/>
                <w:sz w:val="22"/>
                <w:szCs w:val="22"/>
              </w:rPr>
            </w:pPr>
            <w:r>
              <w:rPr>
                <w:rFonts w:ascii="仿宋_GB2312" w:hAnsi="宋体" w:eastAsia="仿宋_GB2312" w:cs="宋体"/>
                <w:color w:val="000000"/>
                <w:kern w:val="0"/>
                <w:sz w:val="24"/>
              </w:rPr>
              <w:t>男</w:t>
            </w:r>
          </w:p>
        </w:tc>
        <w:tc>
          <w:tcPr>
            <w:tcW w:w="193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事业单位人员</w:t>
            </w:r>
          </w:p>
        </w:tc>
        <w:tc>
          <w:tcPr>
            <w:tcW w:w="1898"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color w:val="000000"/>
                <w:sz w:val="22"/>
                <w:szCs w:val="22"/>
              </w:rPr>
            </w:pPr>
            <w:r>
              <w:rPr>
                <w:rFonts w:ascii="仿宋_GB2312" w:hAnsi="宋体" w:eastAsia="仿宋_GB2312" w:cs="宋体"/>
                <w:color w:val="000000"/>
                <w:kern w:val="0"/>
                <w:sz w:val="24"/>
              </w:rPr>
              <w:t>本县</w:t>
            </w:r>
          </w:p>
        </w:tc>
        <w:tc>
          <w:tcPr>
            <w:tcW w:w="235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color w:val="000000"/>
                <w:sz w:val="22"/>
                <w:szCs w:val="22"/>
              </w:rPr>
            </w:pPr>
            <w:r>
              <w:rPr>
                <w:rFonts w:hint="eastAsia" w:ascii="仿宋_GB2312" w:hAnsi="宋体" w:eastAsia="仿宋_GB2312" w:cs="宋体"/>
                <w:color w:val="000000"/>
                <w:kern w:val="0"/>
                <w:sz w:val="24"/>
              </w:rPr>
              <w:t>20010224018</w:t>
            </w:r>
          </w:p>
        </w:tc>
      </w:tr>
    </w:tbl>
    <w:p>
      <w:pPr>
        <w:rPr>
          <w:rFonts w:hint="eastAsia"/>
          <w:color w:val="FF0000"/>
        </w:rPr>
        <w:sectPr>
          <w:pgSz w:w="16838" w:h="11906" w:orient="landscape"/>
          <w:pgMar w:top="1800" w:right="1440" w:bottom="1800" w:left="1440" w:header="851" w:footer="992" w:gutter="0"/>
          <w:pgNumType w:fmt="numberInDash"/>
          <w:cols w:space="425" w:num="1"/>
          <w:docGrid w:type="lines" w:linePitch="312" w:charSpace="0"/>
        </w:sect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pStyle w:val="2"/>
        <w:rPr>
          <w:rFonts w:hint="eastAsia"/>
        </w:rPr>
      </w:pPr>
    </w:p>
    <w:p>
      <w:pPr>
        <w:rPr>
          <w:rFonts w:hint="eastAsia"/>
        </w:rPr>
      </w:pPr>
    </w:p>
    <w:p>
      <w:pPr>
        <w:suppressAutoHyphens/>
        <w:rPr>
          <w:rFonts w:hint="eastAsia" w:ascii="仿宋" w:hAnsi="仿宋" w:eastAsia="仿宋"/>
          <w:sz w:val="28"/>
          <w:szCs w:val="28"/>
          <w:u w:val="single"/>
        </w:rPr>
      </w:pPr>
      <w:r>
        <w:rPr>
          <w:rFonts w:hint="eastAsia" w:ascii="仿宋" w:hAnsi="仿宋" w:eastAsia="仿宋"/>
          <w:sz w:val="28"/>
          <w:szCs w:val="28"/>
          <w:u w:val="single"/>
        </w:rPr>
        <w:t xml:space="preserve">                                                                </w:t>
      </w:r>
    </w:p>
    <w:p>
      <w:pPr>
        <w:suppressAutoHyphens/>
        <w:rPr>
          <w:rFonts w:hint="eastAsia" w:ascii="仿宋_GB2312" w:hAnsi="仿宋_GB2312" w:eastAsia="仿宋_GB2312" w:cs="仿宋_GB2312"/>
          <w:sz w:val="28"/>
          <w:szCs w:val="28"/>
          <w:u w:val="single"/>
        </w:rPr>
      </w:pPr>
      <w:r>
        <w:rPr>
          <w:rFonts w:hint="eastAsia" w:ascii="仿宋" w:hAnsi="仿宋" w:eastAsia="仿宋"/>
          <w:sz w:val="28"/>
          <w:szCs w:val="28"/>
          <w:u w:val="single"/>
        </w:rPr>
        <w:t xml:space="preserve"> </w:t>
      </w:r>
      <w:r>
        <w:rPr>
          <w:rFonts w:hint="eastAsia" w:ascii="仿宋_GB2312" w:hAnsi="仿宋_GB2312" w:eastAsia="仿宋_GB2312" w:cs="仿宋_GB2312"/>
          <w:sz w:val="28"/>
          <w:szCs w:val="28"/>
          <w:u w:val="single"/>
          <w:lang w:eastAsia="zh-CN"/>
        </w:rPr>
        <w:t>宾阳县</w:t>
      </w:r>
      <w:r>
        <w:rPr>
          <w:rFonts w:hint="eastAsia" w:ascii="仿宋_GB2312" w:hAnsi="仿宋_GB2312" w:eastAsia="仿宋_GB2312" w:cs="仿宋_GB2312"/>
          <w:sz w:val="28"/>
          <w:szCs w:val="28"/>
          <w:u w:val="single"/>
        </w:rPr>
        <w:t xml:space="preserve">应急管理局办公室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2024年4月</w:t>
      </w:r>
      <w:r>
        <w:rPr>
          <w:rFonts w:hint="eastAsia" w:ascii="仿宋_GB2312" w:hAnsi="仿宋_GB2312" w:eastAsia="仿宋_GB2312" w:cs="仿宋_GB2312"/>
          <w:sz w:val="28"/>
          <w:szCs w:val="28"/>
          <w:u w:val="single"/>
          <w:lang w:val="en-US" w:eastAsia="zh-CN"/>
        </w:rPr>
        <w:t>28</w:t>
      </w:r>
      <w:r>
        <w:rPr>
          <w:rFonts w:hint="eastAsia" w:ascii="仿宋_GB2312" w:hAnsi="仿宋_GB2312" w:eastAsia="仿宋_GB2312" w:cs="仿宋_GB2312"/>
          <w:sz w:val="28"/>
          <w:szCs w:val="28"/>
          <w:u w:val="single"/>
        </w:rPr>
        <w:t>日印发</w:t>
      </w:r>
      <w:r>
        <w:rPr>
          <w:rFonts w:hint="eastAsia" w:ascii="仿宋_GB2312" w:hAnsi="仿宋_GB2312" w:eastAsia="仿宋_GB2312" w:cs="仿宋_GB2312"/>
          <w:sz w:val="28"/>
          <w:szCs w:val="28"/>
          <w:u w:val="single"/>
          <w:lang w:val="en-US" w:eastAsia="zh-CN"/>
        </w:rPr>
        <w:t xml:space="preserve">   </w:t>
      </w:r>
    </w:p>
    <w:sectPr>
      <w:pgSz w:w="11906" w:h="16838"/>
      <w:pgMar w:top="2098" w:right="1587" w:bottom="136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- 14 -</w:t>
                          </w:r>
                          <w:r>
                            <w:rPr>
                              <w:rFonts w:hint="eastAsia" w:ascii="仿宋_GB2312" w:hAnsi="仿宋_GB2312" w:eastAsia="仿宋_GB2312" w:cs="仿宋_GB2312"/>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T2yWitIBAACiAwAADgAAAAAAAAABACAAAAAfAQAA&#10;ZHJzL2Uyb0RvYy54bWxQSwUGAAAAAAYABgBZAQAAYwU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- 14 -</w:t>
                    </w:r>
                    <w:r>
                      <w:rPr>
                        <w:rFonts w:hint="eastAsia" w:ascii="仿宋_GB2312" w:hAnsi="仿宋_GB2312" w:eastAsia="仿宋_GB2312" w:cs="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仿宋" w:hAnsi="仿宋" w:eastAsia="仿宋" w:cs="仿宋"/>
                              <w:sz w:val="28"/>
                              <w:szCs w:val="28"/>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rPr>
                        <w:rFonts w:hint="default" w:ascii="仿宋" w:hAnsi="仿宋" w:eastAsia="仿宋" w:cs="仿宋"/>
                        <w:sz w:val="28"/>
                        <w:szCs w:val="28"/>
                        <w:lang w:val="en-US"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635" cy="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35" cy="0"/>
                      </a:xfrm>
                      <a:prstGeom prst="rect">
                        <a:avLst/>
                      </a:prstGeom>
                      <a:noFill/>
                      <a:ln>
                        <a:noFill/>
                      </a:ln>
                    </wps:spPr>
                    <wps:txbx>
                      <w:txbxContent>
                        <w:p>
                          <w:r>
                            <w:t>ImpTraceLabel=PD94bWwgdmVyc2lvbj0nMS4wJyBlbmNvZGluZz0nVVRGLTgnPz48dHJhY2U+PGNvbnRlbnQ+PC9jb250ZW50PjxhY2NvdW50PmN2Nmd1NmxoaHlvdzkwMzR2YTYxZzE8L2FjY291bnQ+PG1hY2hpbmVDb2RlPk5NWlRMMUJOMlJHUDAzMDA2CjwvbWFjaGluZUNvZGU+PHRpbWU+MjAyNC0wMi0yOSAxNzoyNzo1NTwvdGltZT48c3lzdGVtPk1CPHN5c3RlbT48L3RyYWNlPg==</w:t>
                          </w:r>
                        </w:p>
                      </w:txbxContent>
                    </wps:txbx>
                    <wps:bodyPr upright="1"/>
                  </wps:wsp>
                </a:graphicData>
              </a:graphic>
            </wp:anchor>
          </w:drawing>
        </mc:Choice>
        <mc:Fallback>
          <w:pict>
            <v:shape id="_x0000_s1026" o:spid="_x0000_s1026" o:spt="202" type="#_x0000_t202" style="position:absolute;left:0pt;margin-left:0pt;margin-top:0pt;height:0pt;width:0.05pt;mso-position-horizontal-relative:page;mso-position-vertical-relative:page;z-index:251659264;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DoqH5uzQAAAP8AAAAPAAAAAAAAAAEAIAAAACIA&#10;AABkcnMvZG93bnJldi54bWxQSwECFAAUAAAACACHTuJAxgJ0RqIBAABFAwAADgAAAAAAAAABACAA&#10;AAAcAQAAZHJzL2Uyb0RvYy54bWxQSwUGAAAAAAYABgBZAQAAMAUAAAAA&#10;">
              <v:fill on="f" focussize="0,0"/>
              <v:stroke on="f"/>
              <v:imagedata o:title=""/>
              <o:lock v:ext="edit" aspectratio="f"/>
              <v:textbox>
                <w:txbxContent>
                  <w:p>
                    <w:r>
                      <w:t>ImpTraceLabel=PD94bWwgdmVyc2lvbj0nMS4wJyBlbmNvZGluZz0nVVRGLTgnPz48dHJhY2U+PGNvbnRlbnQ+PC9jb250ZW50PjxhY2NvdW50PmN2Nmd1NmxoaHlvdzkwMzR2YTYxZzE8L2FjY291bnQ+PG1hY2hpbmVDb2RlPk5NWlRMMUJOMlJHUDAzMDA2CjwvbWFjaGluZUNvZGU+PHRpbWU+MjAyNC0wMi0yOSAxNzoyNzo1NTwvdGltZT48c3lzdGVtPk1CPHN5c3RlbT48L3RyYWNlPg==</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AA4F41"/>
    <w:rsid w:val="014B604D"/>
    <w:rsid w:val="06637077"/>
    <w:rsid w:val="0FF52429"/>
    <w:rsid w:val="182A2B8A"/>
    <w:rsid w:val="228D011F"/>
    <w:rsid w:val="24C0449A"/>
    <w:rsid w:val="2AD944DC"/>
    <w:rsid w:val="2C291D6B"/>
    <w:rsid w:val="2E5520CB"/>
    <w:rsid w:val="40225554"/>
    <w:rsid w:val="4A3934AA"/>
    <w:rsid w:val="4CEE6AC2"/>
    <w:rsid w:val="4D3262A7"/>
    <w:rsid w:val="4EF32B31"/>
    <w:rsid w:val="53B13BBE"/>
    <w:rsid w:val="55AA4F41"/>
    <w:rsid w:val="6143039D"/>
    <w:rsid w:val="61E27475"/>
    <w:rsid w:val="66FA0870"/>
    <w:rsid w:val="76F25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正文-公1"/>
    <w:basedOn w:val="1"/>
    <w:next w:val="1"/>
    <w:qFormat/>
    <w:uiPriority w:val="0"/>
    <w:pPr>
      <w:ind w:firstLine="200" w:firstLineChars="200"/>
      <w:jc w:val="left"/>
    </w:pPr>
    <w:rPr>
      <w:rFonts w:eastAsia="仿宋_GB2312"/>
    </w:rPr>
  </w:style>
  <w:style w:type="paragraph" w:styleId="3">
    <w:name w:val="footer"/>
    <w:basedOn w:val="1"/>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99"/>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8446</Words>
  <Characters>9350</Characters>
  <Lines>0</Lines>
  <Paragraphs>0</Paragraphs>
  <TotalTime>2</TotalTime>
  <ScaleCrop>false</ScaleCrop>
  <LinksUpToDate>false</LinksUpToDate>
  <CharactersWithSpaces>9443</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2024-05-06T02:03:00Z</dcterms:created>
  <dc:creator>WPS_1693210557</dc:creator>
  <cp:lastModifiedBy>Administrator</cp:lastModifiedBy>
  <cp:lastPrinted>2024-05-08T02:06:00Z</cp:lastPrinted>
  <dcterms:modified xsi:type="dcterms:W3CDTF">2024-05-08T02:26:05Z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2A407AB9064840ACAB24A7EF32B273CD</vt:lpwstr>
  </property>
</Properties>
</file>