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黑体"/>
          <w:b/>
          <w:bCs/>
          <w:color w:val="auto"/>
          <w:spacing w:val="-20"/>
          <w:sz w:val="44"/>
          <w:szCs w:val="44"/>
        </w:rPr>
      </w:pPr>
      <w:r>
        <w:rPr>
          <w:rFonts w:hint="eastAsia" w:ascii="仿宋" w:hAnsi="仿宋" w:eastAsia="仿宋" w:cs="黑体"/>
          <w:b/>
          <w:bCs/>
          <w:color w:val="auto"/>
          <w:spacing w:val="-20"/>
          <w:sz w:val="44"/>
          <w:szCs w:val="44"/>
        </w:rPr>
        <w:t>宾阳县集体土地征收青苗和地上附着物补偿标准</w:t>
      </w:r>
    </w:p>
    <w:p>
      <w:pPr>
        <w:spacing w:line="560" w:lineRule="exact"/>
        <w:jc w:val="center"/>
        <w:rPr>
          <w:rFonts w:hint="eastAsia" w:ascii="仿宋" w:hAnsi="仿宋" w:eastAsia="仿宋" w:cs="黑体"/>
          <w:b/>
          <w:bCs/>
          <w:color w:val="auto"/>
          <w:spacing w:val="-20"/>
          <w:sz w:val="44"/>
          <w:szCs w:val="44"/>
          <w:lang w:eastAsia="zh-CN"/>
        </w:rPr>
      </w:pPr>
      <w:r>
        <w:rPr>
          <w:rFonts w:hint="eastAsia" w:ascii="仿宋" w:hAnsi="仿宋" w:eastAsia="仿宋" w:cs="黑体"/>
          <w:b/>
          <w:bCs/>
          <w:color w:val="auto"/>
          <w:spacing w:val="-20"/>
          <w:sz w:val="44"/>
          <w:szCs w:val="44"/>
          <w:lang w:eastAsia="zh-CN"/>
        </w:rPr>
        <w:t>（征求意见稿）</w:t>
      </w:r>
    </w:p>
    <w:p>
      <w:pPr>
        <w:spacing w:line="560" w:lineRule="exact"/>
        <w:rPr>
          <w:rFonts w:hint="eastAsia" w:ascii="仿宋" w:hAnsi="仿宋" w:eastAsia="仿宋" w:cs="仿宋_GB2312"/>
          <w:b/>
          <w:bCs/>
          <w:color w:val="auto"/>
          <w:spacing w:val="11"/>
          <w:sz w:val="32"/>
          <w:szCs w:val="32"/>
        </w:rPr>
      </w:pPr>
      <w:r>
        <w:rPr>
          <w:rFonts w:hint="eastAsia" w:ascii="仿宋" w:hAnsi="仿宋" w:eastAsia="仿宋" w:cs="仿宋_GB2312"/>
          <w:b/>
          <w:bCs/>
          <w:color w:val="auto"/>
          <w:spacing w:val="11"/>
          <w:sz w:val="32"/>
          <w:szCs w:val="32"/>
        </w:rPr>
        <w:t>一、青苗补偿指导价格</w:t>
      </w:r>
    </w:p>
    <w:p>
      <w:pPr>
        <w:spacing w:line="560" w:lineRule="exact"/>
        <w:rPr>
          <w:rFonts w:ascii="仿宋" w:hAnsi="仿宋" w:eastAsia="仿宋" w:cs="仿宋_GB2312"/>
          <w:b/>
          <w:bCs/>
          <w:color w:val="auto"/>
          <w:spacing w:val="11"/>
          <w:sz w:val="32"/>
          <w:szCs w:val="32"/>
        </w:rPr>
      </w:pPr>
      <w:r>
        <w:rPr>
          <w:rFonts w:hint="eastAsia" w:ascii="仿宋" w:hAnsi="仿宋" w:eastAsia="仿宋" w:cs="仿宋_GB2312"/>
          <w:b/>
          <w:bCs/>
          <w:spacing w:val="-3"/>
          <w:sz w:val="32"/>
          <w:szCs w:val="32"/>
        </w:rPr>
        <w:t>（一)</w:t>
      </w:r>
      <w:r>
        <w:rPr>
          <w:rFonts w:hint="eastAsia"/>
        </w:rPr>
        <w:t xml:space="preserve"> </w:t>
      </w:r>
      <w:r>
        <w:rPr>
          <w:rFonts w:hint="eastAsia" w:ascii="仿宋" w:hAnsi="仿宋" w:eastAsia="仿宋" w:cs="仿宋_GB2312"/>
          <w:b/>
          <w:bCs/>
          <w:color w:val="auto"/>
          <w:spacing w:val="11"/>
          <w:sz w:val="32"/>
          <w:szCs w:val="32"/>
        </w:rPr>
        <w:t>一般农作物青苗类补偿标准</w:t>
      </w:r>
    </w:p>
    <w:p>
      <w:pPr>
        <w:spacing w:line="560" w:lineRule="exact"/>
        <w:jc w:val="center"/>
        <w:rPr>
          <w:rFonts w:hint="eastAsia" w:ascii="仿宋" w:hAnsi="仿宋" w:eastAsia="仿宋" w:cs="仿宋_GB2312"/>
          <w:b/>
          <w:bCs/>
          <w:color w:val="auto"/>
          <w:spacing w:val="11"/>
          <w:sz w:val="32"/>
          <w:szCs w:val="32"/>
        </w:rPr>
      </w:pPr>
      <w:r>
        <w:rPr>
          <w:rFonts w:hint="eastAsia" w:ascii="仿宋" w:hAnsi="仿宋" w:eastAsia="仿宋" w:cs="宋体"/>
          <w:b/>
          <w:bCs/>
          <w:sz w:val="24"/>
          <w:szCs w:val="24"/>
        </w:rPr>
        <w:t xml:space="preserve">表1     </w:t>
      </w:r>
      <w:r>
        <w:rPr>
          <w:rFonts w:hint="eastAsia" w:ascii="仿宋" w:hAnsi="仿宋" w:eastAsia="仿宋" w:cs="仿宋_GB2312"/>
          <w:b/>
          <w:bCs/>
          <w:color w:val="auto"/>
          <w:spacing w:val="11"/>
          <w:sz w:val="22"/>
          <w:szCs w:val="22"/>
        </w:rPr>
        <w:t>一般农作物青苗类补偿</w:t>
      </w:r>
      <w:r>
        <w:rPr>
          <w:rFonts w:hint="eastAsia" w:ascii="仿宋" w:hAnsi="仿宋" w:eastAsia="仿宋" w:cs="宋体"/>
          <w:b/>
          <w:bCs/>
          <w:sz w:val="24"/>
          <w:szCs w:val="24"/>
        </w:rPr>
        <w:t>标准表</w:t>
      </w:r>
    </w:p>
    <w:tbl>
      <w:tblPr>
        <w:tblStyle w:val="5"/>
        <w:tblW w:w="920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57" w:type="dxa"/>
          <w:bottom w:w="0" w:type="dxa"/>
          <w:right w:w="57" w:type="dxa"/>
        </w:tblCellMar>
      </w:tblPr>
      <w:tblGrid>
        <w:gridCol w:w="704"/>
        <w:gridCol w:w="612"/>
        <w:gridCol w:w="2035"/>
        <w:gridCol w:w="2194"/>
        <w:gridCol w:w="636"/>
        <w:gridCol w:w="1446"/>
        <w:gridCol w:w="15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99" w:hRule="atLeast"/>
          <w:tblHeader/>
          <w:jc w:val="center"/>
        </w:trPr>
        <w:tc>
          <w:tcPr>
            <w:tcW w:w="70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序号</w:t>
            </w:r>
          </w:p>
        </w:tc>
        <w:tc>
          <w:tcPr>
            <w:tcW w:w="2647" w:type="dxa"/>
            <w:gridSpan w:val="2"/>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补偿项目</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说明</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单位</w:t>
            </w:r>
          </w:p>
        </w:tc>
        <w:tc>
          <w:tcPr>
            <w:tcW w:w="144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备注</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补偿标准（元）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99" w:hRule="atLeast"/>
          <w:jc w:val="center"/>
        </w:trPr>
        <w:tc>
          <w:tcPr>
            <w:tcW w:w="704"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w:t>
            </w:r>
          </w:p>
        </w:tc>
        <w:tc>
          <w:tcPr>
            <w:tcW w:w="61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粮食作物</w:t>
            </w:r>
          </w:p>
        </w:tc>
        <w:tc>
          <w:tcPr>
            <w:tcW w:w="2035"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水稻</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按生长期及管理水平</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1500～3700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570" w:hRule="atLeas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甜（糯）玉米、芋头、花生</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1500～2500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常规玉米、红薯、木薯、黄豆</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1200～2000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00" w:hRule="atLeast"/>
          <w:jc w:val="center"/>
        </w:trPr>
        <w:tc>
          <w:tcPr>
            <w:tcW w:w="704"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2</w:t>
            </w:r>
          </w:p>
        </w:tc>
        <w:tc>
          <w:tcPr>
            <w:tcW w:w="61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菜地青苗</w:t>
            </w:r>
          </w:p>
        </w:tc>
        <w:tc>
          <w:tcPr>
            <w:tcW w:w="2035"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一级菜地</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按种植品类、产量综合确定补偿</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城市开发建设区范围内</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3000～5000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00" w:hRule="atLeas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二级菜地</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按种植品类、产量综合确定补偿</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城市开发建设区范围外</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2000～4000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w:t>
            </w:r>
          </w:p>
        </w:tc>
        <w:tc>
          <w:tcPr>
            <w:tcW w:w="61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一般农作物</w:t>
            </w:r>
          </w:p>
        </w:tc>
        <w:tc>
          <w:tcPr>
            <w:tcW w:w="2035"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生姜</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　</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按生长期及管理水平</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2000～4000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冬瓜、南瓜等</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冬瓜、南瓜等</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1500～2000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黑皮冬瓜</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未搭架</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1500～2000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已搭架</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2000～4000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淮山</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　</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3000～4000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胡萝卜</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　</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1500～5000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莲藕</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　</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3000～5000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旱藕</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　</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1500～2500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4</w:t>
            </w:r>
          </w:p>
        </w:tc>
        <w:tc>
          <w:tcPr>
            <w:tcW w:w="61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经济作物</w:t>
            </w:r>
          </w:p>
        </w:tc>
        <w:tc>
          <w:tcPr>
            <w:tcW w:w="203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西瓜</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移栽后幼苗期</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1000～1500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开花坐果期</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2500～3500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近采收期</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3000～4000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新植甘蔗</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株高＜1m</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　</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1500～1800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株高1～1.5m</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　</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1800～2500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株高＞1.5m</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未至砍伐期</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2500～3700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宿根蔗</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齐苗前</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　</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800～1000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齐苗至株高0.5m</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　</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1000～1200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株高0.5～1m</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　</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1200～1800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株高1～1.5m</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　</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1800～2200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株高＞1.5m</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未至砍伐期</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2200～3500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失管的</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　</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1000～1500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果蔗</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株高＜1m</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　</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2500～3000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株高1～1.5m</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　</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3000～5000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株高＞1.5m</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未至砍伐期</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5000～7000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jc w:val="center"/>
        </w:trPr>
        <w:tc>
          <w:tcPr>
            <w:tcW w:w="704"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c>
          <w:tcPr>
            <w:tcW w:w="61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鱼塘</w:t>
            </w:r>
          </w:p>
        </w:tc>
        <w:tc>
          <w:tcPr>
            <w:tcW w:w="2035"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山塘(坑塘)</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养殖有鱼类</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　无藕或干旱鱼塘不补偿</w:t>
            </w: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2000～3500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水库、池塘</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养殖有鱼类</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vMerge w:val="continue"/>
            <w:shd w:val="clear" w:color="auto" w:fill="auto"/>
            <w:vAlign w:val="center"/>
          </w:tcPr>
          <w:p>
            <w:pPr>
              <w:jc w:val="center"/>
              <w:rPr>
                <w:rFonts w:hint="eastAsia" w:ascii="仿宋" w:hAnsi="仿宋" w:eastAsia="仿宋" w:cs="宋体"/>
                <w:color w:val="000000" w:themeColor="text1"/>
                <w:sz w:val="22"/>
                <w:szCs w:val="22"/>
                <w14:textFill>
                  <w14:solidFill>
                    <w14:schemeClr w14:val="tx1"/>
                  </w14:solidFill>
                </w14:textFill>
              </w:rPr>
            </w:pP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3000～4000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jc w:val="center"/>
        </w:trPr>
        <w:tc>
          <w:tcPr>
            <w:tcW w:w="704"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612" w:type="dxa"/>
            <w:vMerge w:val="continue"/>
            <w:vAlign w:val="center"/>
          </w:tcPr>
          <w:p>
            <w:pPr>
              <w:kinsoku/>
              <w:autoSpaceDE/>
              <w:autoSpaceDN/>
              <w:adjustRightInd/>
              <w:snapToGrid/>
              <w:textAlignment w:val="auto"/>
              <w:rPr>
                <w:rFonts w:hint="eastAsia" w:ascii="仿宋" w:hAnsi="仿宋" w:eastAsia="仿宋" w:cs="宋体"/>
                <w:color w:val="000000" w:themeColor="text1"/>
                <w:sz w:val="22"/>
                <w:szCs w:val="22"/>
                <w14:textFill>
                  <w14:solidFill>
                    <w14:schemeClr w14:val="tx1"/>
                  </w14:solidFill>
                </w14:textFill>
              </w:rPr>
            </w:pPr>
          </w:p>
        </w:tc>
        <w:tc>
          <w:tcPr>
            <w:tcW w:w="2035"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藕塘</w:t>
            </w:r>
          </w:p>
        </w:tc>
        <w:tc>
          <w:tcPr>
            <w:tcW w:w="2194"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含藕和鱼类</w:t>
            </w:r>
          </w:p>
        </w:tc>
        <w:tc>
          <w:tcPr>
            <w:tcW w:w="636"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亩</w:t>
            </w:r>
          </w:p>
        </w:tc>
        <w:tc>
          <w:tcPr>
            <w:tcW w:w="1446" w:type="dxa"/>
            <w:vMerge w:val="continue"/>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p>
        </w:tc>
        <w:tc>
          <w:tcPr>
            <w:tcW w:w="1580" w:type="dxa"/>
            <w:shd w:val="clear" w:color="auto" w:fill="auto"/>
            <w:vAlign w:val="center"/>
          </w:tcPr>
          <w:p>
            <w:pPr>
              <w:kinsoku/>
              <w:autoSpaceDE/>
              <w:autoSpaceDN/>
              <w:adjustRightInd/>
              <w:snapToGrid/>
              <w:jc w:val="center"/>
              <w:textAlignment w:val="auto"/>
              <w:rPr>
                <w:rFonts w:hint="eastAsia"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4000～6000</w:t>
            </w:r>
          </w:p>
        </w:tc>
      </w:tr>
    </w:tbl>
    <w:p>
      <w:pPr>
        <w:spacing w:line="560" w:lineRule="exact"/>
        <w:rPr>
          <w:rFonts w:ascii="仿宋" w:hAnsi="仿宋" w:eastAsia="仿宋" w:cs="仿宋_GB2312"/>
          <w:b/>
          <w:bCs/>
          <w:color w:val="auto"/>
          <w:spacing w:val="11"/>
          <w:sz w:val="32"/>
          <w:szCs w:val="32"/>
        </w:rPr>
      </w:pPr>
      <w:r>
        <w:rPr>
          <w:rFonts w:hint="eastAsia" w:ascii="仿宋" w:hAnsi="仿宋" w:eastAsia="仿宋" w:cs="仿宋_GB2312"/>
          <w:b/>
          <w:bCs/>
          <w:color w:val="auto"/>
          <w:spacing w:val="11"/>
          <w:sz w:val="32"/>
          <w:szCs w:val="32"/>
        </w:rPr>
        <w:t>（二）成片种植果木类补偿标准</w:t>
      </w:r>
    </w:p>
    <w:p>
      <w:pPr>
        <w:spacing w:line="480" w:lineRule="exact"/>
        <w:jc w:val="center"/>
        <w:rPr>
          <w:rFonts w:hint="eastAsia" w:ascii="仿宋" w:hAnsi="仿宋" w:eastAsia="仿宋" w:cs="仿宋_GB2312"/>
          <w:b/>
          <w:bCs/>
          <w:color w:val="auto"/>
          <w:spacing w:val="11"/>
          <w:sz w:val="32"/>
          <w:szCs w:val="32"/>
        </w:rPr>
      </w:pPr>
      <w:r>
        <w:rPr>
          <w:rFonts w:hint="eastAsia" w:ascii="仿宋" w:hAnsi="仿宋" w:eastAsia="仿宋" w:cs="宋体"/>
          <w:b/>
          <w:bCs/>
          <w:sz w:val="24"/>
          <w:szCs w:val="24"/>
        </w:rPr>
        <w:t xml:space="preserve">表2     </w:t>
      </w:r>
      <w:r>
        <w:rPr>
          <w:rFonts w:hint="eastAsia" w:ascii="仿宋" w:hAnsi="仿宋" w:eastAsia="仿宋" w:cs="仿宋_GB2312"/>
          <w:b/>
          <w:bCs/>
          <w:color w:val="auto"/>
          <w:spacing w:val="11"/>
          <w:sz w:val="22"/>
          <w:szCs w:val="22"/>
        </w:rPr>
        <w:t>成片种植果木类青苗补偿</w:t>
      </w:r>
      <w:r>
        <w:rPr>
          <w:rFonts w:hint="eastAsia" w:ascii="仿宋" w:hAnsi="仿宋" w:eastAsia="仿宋" w:cs="宋体"/>
          <w:b/>
          <w:bCs/>
          <w:sz w:val="24"/>
          <w:szCs w:val="24"/>
        </w:rPr>
        <w:t>标准表</w:t>
      </w:r>
    </w:p>
    <w:tbl>
      <w:tblPr>
        <w:tblStyle w:val="5"/>
        <w:tblW w:w="9204"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57" w:type="dxa"/>
          <w:bottom w:w="0" w:type="dxa"/>
          <w:right w:w="57" w:type="dxa"/>
        </w:tblCellMar>
      </w:tblPr>
      <w:tblGrid>
        <w:gridCol w:w="500"/>
        <w:gridCol w:w="640"/>
        <w:gridCol w:w="972"/>
        <w:gridCol w:w="940"/>
        <w:gridCol w:w="2537"/>
        <w:gridCol w:w="640"/>
        <w:gridCol w:w="1315"/>
        <w:gridCol w:w="16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15" w:hRule="atLeast"/>
          <w:tblHeader/>
        </w:trPr>
        <w:tc>
          <w:tcPr>
            <w:tcW w:w="500"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序号</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补偿项目</w:t>
            </w:r>
          </w:p>
        </w:tc>
        <w:tc>
          <w:tcPr>
            <w:tcW w:w="972"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名称</w:t>
            </w: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规格</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说明</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单位</w:t>
            </w:r>
          </w:p>
        </w:tc>
        <w:tc>
          <w:tcPr>
            <w:tcW w:w="1315"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备注</w:t>
            </w: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补偿标准</w:t>
            </w:r>
          </w:p>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（元/亩）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w:t>
            </w:r>
          </w:p>
        </w:tc>
        <w:tc>
          <w:tcPr>
            <w:tcW w:w="6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连片果树类</w:t>
            </w:r>
          </w:p>
        </w:tc>
        <w:tc>
          <w:tcPr>
            <w:tcW w:w="97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芭蕉、香蕉</w:t>
            </w: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幼  苗</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pacing w:val="-2"/>
              </w:rPr>
            </w:pPr>
            <w:r>
              <w:rPr>
                <w:rFonts w:hint="eastAsia" w:ascii="仿宋" w:hAnsi="仿宋" w:eastAsia="仿宋" w:cs="宋体"/>
                <w:spacing w:val="-2"/>
              </w:rPr>
              <w:t>种植密度90～110株/亩</w:t>
            </w: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800～1500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一年内未投产</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2000～6000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一年内已投产</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6000～9000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w:t>
            </w: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木瓜</w:t>
            </w: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未挂果</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pacing w:val="-2"/>
              </w:rPr>
            </w:pPr>
            <w:r>
              <w:rPr>
                <w:rFonts w:hint="eastAsia" w:ascii="仿宋" w:hAnsi="仿宋" w:eastAsia="仿宋" w:cs="宋体"/>
                <w:spacing w:val="-2"/>
              </w:rPr>
              <w:t>种植密度50～90株/亩</w:t>
            </w: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2000～4000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已挂果</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4000～6000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w:t>
            </w: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菠萝</w:t>
            </w: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未挂果</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pacing w:val="-2"/>
              </w:rPr>
            </w:pPr>
            <w:r>
              <w:rPr>
                <w:rFonts w:hint="eastAsia" w:ascii="仿宋" w:hAnsi="仿宋" w:eastAsia="仿宋" w:cs="宋体"/>
                <w:spacing w:val="-2"/>
              </w:rPr>
              <w:t>　</w:t>
            </w: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1500-2500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已挂果</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3000-5000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39" w:hRule="atLeast"/>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w:t>
            </w: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百香果</w:t>
            </w: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未挂果</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pacing w:val="-2"/>
              </w:rPr>
            </w:pPr>
            <w:r>
              <w:rPr>
                <w:rFonts w:hint="eastAsia" w:ascii="仿宋" w:hAnsi="仿宋" w:eastAsia="仿宋" w:cs="宋体"/>
                <w:spacing w:val="-2"/>
              </w:rPr>
              <w:t>含水泥柱、钢丝，按种植面积补偿</w:t>
            </w: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3000～4000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39" w:hRule="atLeas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已挂果</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5000～10000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w:t>
            </w: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葡萄</w:t>
            </w: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新种植</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pacing w:val="-2"/>
              </w:rPr>
            </w:pPr>
            <w:r>
              <w:rPr>
                <w:rFonts w:hint="eastAsia" w:ascii="仿宋" w:hAnsi="仿宋" w:eastAsia="仿宋" w:cs="宋体"/>
                <w:color w:val="auto"/>
                <w:spacing w:val="-2"/>
              </w:rPr>
              <w:t>含水泥柱、钢丝，按种植面积补偿</w:t>
            </w: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15000～18000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未挂果</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18000～22000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已挂果</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25000～28000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39" w:hRule="atLeast"/>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w:t>
            </w: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草莓</w:t>
            </w: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未挂果</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pacing w:val="-2"/>
              </w:rPr>
            </w:pPr>
            <w:r>
              <w:rPr>
                <w:rFonts w:hint="eastAsia" w:ascii="仿宋" w:hAnsi="仿宋" w:eastAsia="仿宋" w:cs="宋体"/>
                <w:spacing w:val="-2"/>
              </w:rPr>
              <w:t>空中搭架所需的方、角钢另外补偿</w:t>
            </w: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5000～6000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39" w:hRule="atLeas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已挂果</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15000～25000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w:t>
            </w: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火龙果</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1年生(未投产)柱式栽培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pacing w:val="-2"/>
              </w:rPr>
            </w:pPr>
            <w:r>
              <w:rPr>
                <w:rFonts w:hint="eastAsia" w:ascii="仿宋" w:hAnsi="仿宋" w:eastAsia="仿宋" w:cs="宋体"/>
                <w:spacing w:val="-2"/>
              </w:rPr>
              <w:t>柱式密度300棵/亩</w:t>
            </w: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1000～1500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1年生(已投产)柱式栽培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3000～6000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2年生柱式栽培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6000～9000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3年生及以上柱式栽培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10000～20000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1年生(未投产)排式栽培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pacing w:val="-2"/>
              </w:rPr>
            </w:pPr>
            <w:r>
              <w:rPr>
                <w:rFonts w:hint="eastAsia" w:ascii="仿宋" w:hAnsi="仿宋" w:eastAsia="仿宋" w:cs="宋体"/>
                <w:spacing w:val="-2"/>
              </w:rPr>
              <w:t>标准化排式种植，密度≤1000棵/亩</w:t>
            </w: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3000～5000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1年生(已投产)排式栽培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5000～8000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2年生排式栽培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10000～15000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3年生及以上排式栽培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15000～25000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1年生(未投产)排式栽培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pacing w:val="-2"/>
              </w:rPr>
            </w:pPr>
            <w:r>
              <w:rPr>
                <w:rFonts w:hint="eastAsia" w:ascii="仿宋" w:hAnsi="仿宋" w:eastAsia="仿宋" w:cs="宋体"/>
                <w:spacing w:val="-2"/>
              </w:rPr>
              <w:t>标准化排式种植，密度1000-1700棵/亩</w:t>
            </w: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8000～12000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1年生(已投产)排式栽培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12000～20000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2年生排式栽培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20000～30000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3年生及以上排式栽培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30000～40000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w:t>
            </w:r>
          </w:p>
        </w:tc>
        <w:tc>
          <w:tcPr>
            <w:tcW w:w="640" w:type="dxa"/>
            <w:vMerge w:val="restart"/>
            <w:shd w:val="clear" w:color="auto" w:fill="auto"/>
            <w:vAlign w:val="center"/>
          </w:tcPr>
          <w:p>
            <w:pPr>
              <w:jc w:val="center"/>
              <w:rPr>
                <w:rFonts w:hint="eastAsia" w:ascii="仿宋" w:hAnsi="仿宋" w:eastAsia="仿宋" w:cs="宋体"/>
                <w:sz w:val="22"/>
                <w:szCs w:val="22"/>
              </w:rPr>
            </w:pPr>
            <w:r>
              <w:rPr>
                <w:rFonts w:hint="eastAsia" w:ascii="仿宋" w:hAnsi="仿宋" w:eastAsia="仿宋" w:cs="宋体"/>
                <w:sz w:val="22"/>
                <w:szCs w:val="22"/>
              </w:rPr>
              <w:t>连片果树类</w:t>
            </w:r>
          </w:p>
        </w:tc>
        <w:tc>
          <w:tcPr>
            <w:tcW w:w="97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一般柚类</w:t>
            </w: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新植苗</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pacing w:val="-2"/>
              </w:rPr>
            </w:pPr>
            <w:r>
              <w:rPr>
                <w:rFonts w:hint="eastAsia" w:ascii="仿宋" w:hAnsi="仿宋" w:eastAsia="仿宋" w:cs="宋体"/>
                <w:color w:val="auto"/>
                <w:spacing w:val="-2"/>
              </w:rPr>
              <w:t>种植密度30～50株/亩</w:t>
            </w: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幼龄期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树龄1～2年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3000～5000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初产期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树龄3～5年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8000～12000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盛果期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树龄6～10年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14000～22000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衰退期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树龄≥10年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6000～10000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w:t>
            </w: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蜜柚、青柚等新优良品种</w:t>
            </w: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新植苗</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pacing w:val="-2"/>
              </w:rPr>
            </w:pPr>
            <w:r>
              <w:rPr>
                <w:rFonts w:hint="eastAsia" w:ascii="仿宋" w:hAnsi="仿宋" w:eastAsia="仿宋" w:cs="宋体"/>
                <w:color w:val="auto"/>
                <w:spacing w:val="-2"/>
              </w:rPr>
              <w:t>种植密度40～60株/亩</w:t>
            </w: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3000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幼龄期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树龄1～2年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4000～6000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初产期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树龄3～4年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8000～15000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盛果期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树龄5～12年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18000～30000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衰退期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树龄≥13年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8000～12000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w:t>
            </w: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砂糖桔、小金桔、皇帝柑、橙果类</w:t>
            </w: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新植苗</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pacing w:val="-2"/>
              </w:rPr>
            </w:pPr>
            <w:r>
              <w:rPr>
                <w:rFonts w:hint="eastAsia" w:ascii="仿宋" w:hAnsi="仿宋" w:eastAsia="仿宋" w:cs="宋体"/>
                <w:color w:val="auto"/>
                <w:spacing w:val="-2"/>
              </w:rPr>
              <w:t>种植密度90～110株/亩</w:t>
            </w: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2500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幼龄期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树龄1～2年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3000～6000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初产期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树龄3～4年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8000～12000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盛果期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树龄5～9年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15000～24000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衰退期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树龄≥10年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7000～11000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11</w:t>
            </w: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沃柑、茂谷柑等优良品种</w:t>
            </w: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新植苗</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pacing w:val="-2"/>
              </w:rPr>
            </w:pPr>
            <w:r>
              <w:rPr>
                <w:rFonts w:hint="eastAsia" w:ascii="仿宋" w:hAnsi="仿宋" w:eastAsia="仿宋" w:cs="宋体"/>
                <w:color w:val="auto"/>
                <w:spacing w:val="-2"/>
              </w:rPr>
              <w:t>种植密度70～90株/亩</w:t>
            </w: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3000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幼龄期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树龄1～2年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4000～6000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初产期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树龄3～4年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8000～15000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盛果期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树龄5～12年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18000～32000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衰退期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树龄≥13年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8000～12000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w:t>
            </w: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龙眼、荔枝、板栗</w:t>
            </w: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新植苗</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pacing w:val="-2"/>
              </w:rPr>
            </w:pPr>
            <w:r>
              <w:rPr>
                <w:rFonts w:hint="eastAsia" w:ascii="仿宋" w:hAnsi="仿宋" w:eastAsia="仿宋" w:cs="宋体"/>
                <w:color w:val="auto"/>
                <w:spacing w:val="-2"/>
              </w:rPr>
              <w:t>种植密度30～60株/亩</w:t>
            </w: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幼龄期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树龄1～3年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3000～5000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初产期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树龄4～6年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8000～12000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盛果期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树龄7～30年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15000～28000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衰退期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树龄≥31年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8000～12000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13</w:t>
            </w: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释迦果、台湾莲雾</w:t>
            </w: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新植苗</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pacing w:val="-2"/>
              </w:rPr>
            </w:pPr>
            <w:r>
              <w:rPr>
                <w:rFonts w:hint="eastAsia" w:ascii="仿宋" w:hAnsi="仿宋" w:eastAsia="仿宋" w:cs="宋体"/>
                <w:color w:val="auto"/>
                <w:spacing w:val="-2"/>
              </w:rPr>
              <w:t>种植密度50～110株/亩</w:t>
            </w: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2500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幼龄期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树龄1～2年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3000～5000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初产期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树龄3～4年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8000～12000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盛果期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树龄5～12年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13000～25000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衰退期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树龄≥13年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6000～8000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14</w:t>
            </w: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树葡萄（嘉宝果）、澳洲坚果</w:t>
            </w: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新植苗</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pacing w:val="-2"/>
              </w:rPr>
            </w:pPr>
            <w:r>
              <w:rPr>
                <w:rFonts w:hint="eastAsia" w:ascii="仿宋" w:hAnsi="仿宋" w:eastAsia="仿宋" w:cs="宋体"/>
                <w:color w:val="auto"/>
                <w:spacing w:val="-2"/>
              </w:rPr>
              <w:t>种植密度50～110株/亩</w:t>
            </w: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3500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幼龄期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树龄1～4年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5000～8000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初产期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树龄5～6年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10000～15000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jc w:val="center"/>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盛果期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树龄7～15年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18000～30000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5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衰退期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树龄≥16年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8000～12000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15</w:t>
            </w:r>
          </w:p>
        </w:tc>
        <w:tc>
          <w:tcPr>
            <w:tcW w:w="640" w:type="dxa"/>
            <w:vMerge w:val="restart"/>
            <w:shd w:val="clear" w:color="auto" w:fill="auto"/>
            <w:vAlign w:val="center"/>
          </w:tcPr>
          <w:p>
            <w:pPr>
              <w:jc w:val="center"/>
              <w:rPr>
                <w:rFonts w:hint="eastAsia" w:ascii="仿宋" w:hAnsi="仿宋" w:eastAsia="仿宋" w:cs="宋体"/>
                <w:color w:val="auto"/>
                <w:sz w:val="22"/>
                <w:szCs w:val="22"/>
              </w:rPr>
            </w:pPr>
            <w:r>
              <w:rPr>
                <w:rFonts w:hint="eastAsia" w:ascii="仿宋" w:hAnsi="仿宋" w:eastAsia="仿宋" w:cs="宋体"/>
                <w:color w:val="auto"/>
                <w:sz w:val="22"/>
                <w:szCs w:val="22"/>
              </w:rPr>
              <w:t>连片果树类</w:t>
            </w:r>
          </w:p>
        </w:tc>
        <w:tc>
          <w:tcPr>
            <w:tcW w:w="97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芒果、</w:t>
            </w:r>
            <w:r>
              <w:rPr>
                <w:rFonts w:hint="eastAsia" w:ascii="仿宋" w:hAnsi="仿宋" w:eastAsia="仿宋" w:cs="宋体"/>
                <w:color w:val="auto"/>
                <w:sz w:val="22"/>
                <w:szCs w:val="22"/>
              </w:rPr>
              <w:br w:type="textWrapping"/>
            </w:r>
            <w:r>
              <w:rPr>
                <w:rFonts w:hint="eastAsia" w:ascii="仿宋" w:hAnsi="仿宋" w:eastAsia="仿宋" w:cs="宋体"/>
                <w:color w:val="auto"/>
                <w:sz w:val="22"/>
                <w:szCs w:val="22"/>
              </w:rPr>
              <w:t>大青枣</w:t>
            </w: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新植苗</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pacing w:val="-2"/>
              </w:rPr>
            </w:pPr>
            <w:r>
              <w:rPr>
                <w:rFonts w:hint="eastAsia" w:ascii="仿宋" w:hAnsi="仿宋" w:eastAsia="仿宋" w:cs="宋体"/>
                <w:color w:val="auto"/>
                <w:spacing w:val="-2"/>
              </w:rPr>
              <w:t>种植密度50～110株/亩</w:t>
            </w: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00" w:type="dxa"/>
            <w:vMerge w:val="continue"/>
            <w:vAlign w:val="center"/>
          </w:tcPr>
          <w:p>
            <w:pPr>
              <w:kinsoku/>
              <w:autoSpaceDE/>
              <w:autoSpaceDN/>
              <w:adjustRightInd/>
              <w:snapToGrid/>
              <w:textAlignment w:val="auto"/>
              <w:rPr>
                <w:rFonts w:hint="eastAsia" w:ascii="仿宋" w:hAnsi="仿宋" w:eastAsia="仿宋" w:cs="宋体"/>
                <w:color w:val="FF0000"/>
                <w:sz w:val="22"/>
                <w:szCs w:val="22"/>
              </w:rPr>
            </w:pPr>
          </w:p>
        </w:tc>
        <w:tc>
          <w:tcPr>
            <w:tcW w:w="640" w:type="dxa"/>
            <w:vMerge w:val="continue"/>
            <w:shd w:val="clear" w:color="auto" w:fill="auto"/>
            <w:vAlign w:val="center"/>
          </w:tcPr>
          <w:p>
            <w:pPr>
              <w:jc w:val="center"/>
              <w:rPr>
                <w:rFonts w:hint="eastAsia" w:ascii="仿宋" w:hAnsi="仿宋" w:eastAsia="仿宋" w:cs="宋体"/>
                <w:color w:val="FF0000"/>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幼龄期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树龄1～3年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3000～5000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00" w:type="dxa"/>
            <w:vMerge w:val="continue"/>
            <w:vAlign w:val="center"/>
          </w:tcPr>
          <w:p>
            <w:pPr>
              <w:kinsoku/>
              <w:autoSpaceDE/>
              <w:autoSpaceDN/>
              <w:adjustRightInd/>
              <w:snapToGrid/>
              <w:textAlignment w:val="auto"/>
              <w:rPr>
                <w:rFonts w:hint="eastAsia" w:ascii="仿宋" w:hAnsi="仿宋" w:eastAsia="仿宋" w:cs="宋体"/>
                <w:color w:val="FF0000"/>
                <w:sz w:val="22"/>
                <w:szCs w:val="22"/>
              </w:rPr>
            </w:pPr>
          </w:p>
        </w:tc>
        <w:tc>
          <w:tcPr>
            <w:tcW w:w="640" w:type="dxa"/>
            <w:vMerge w:val="continue"/>
            <w:shd w:val="clear" w:color="auto" w:fill="auto"/>
            <w:vAlign w:val="center"/>
          </w:tcPr>
          <w:p>
            <w:pPr>
              <w:jc w:val="center"/>
              <w:rPr>
                <w:rFonts w:hint="eastAsia" w:ascii="仿宋" w:hAnsi="仿宋" w:eastAsia="仿宋" w:cs="宋体"/>
                <w:color w:val="FF0000"/>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初产期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树龄4～5年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6000～8000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00" w:type="dxa"/>
            <w:vMerge w:val="continue"/>
            <w:vAlign w:val="center"/>
          </w:tcPr>
          <w:p>
            <w:pPr>
              <w:kinsoku/>
              <w:autoSpaceDE/>
              <w:autoSpaceDN/>
              <w:adjustRightInd/>
              <w:snapToGrid/>
              <w:textAlignment w:val="auto"/>
              <w:rPr>
                <w:rFonts w:hint="eastAsia" w:ascii="仿宋" w:hAnsi="仿宋" w:eastAsia="仿宋" w:cs="宋体"/>
                <w:color w:val="FF0000"/>
                <w:sz w:val="22"/>
                <w:szCs w:val="22"/>
              </w:rPr>
            </w:pPr>
          </w:p>
        </w:tc>
        <w:tc>
          <w:tcPr>
            <w:tcW w:w="640" w:type="dxa"/>
            <w:vMerge w:val="continue"/>
            <w:shd w:val="clear" w:color="auto" w:fill="auto"/>
            <w:vAlign w:val="center"/>
          </w:tcPr>
          <w:p>
            <w:pPr>
              <w:jc w:val="center"/>
              <w:rPr>
                <w:rFonts w:hint="eastAsia" w:ascii="仿宋" w:hAnsi="仿宋" w:eastAsia="仿宋" w:cs="宋体"/>
                <w:color w:val="FF0000"/>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盛果期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树龄6～15年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8000～12000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00" w:type="dxa"/>
            <w:vMerge w:val="continue"/>
            <w:vAlign w:val="center"/>
          </w:tcPr>
          <w:p>
            <w:pPr>
              <w:kinsoku/>
              <w:autoSpaceDE/>
              <w:autoSpaceDN/>
              <w:adjustRightInd/>
              <w:snapToGrid/>
              <w:textAlignment w:val="auto"/>
              <w:rPr>
                <w:rFonts w:hint="eastAsia" w:ascii="仿宋" w:hAnsi="仿宋" w:eastAsia="仿宋" w:cs="宋体"/>
                <w:color w:val="FF0000"/>
                <w:sz w:val="22"/>
                <w:szCs w:val="22"/>
              </w:rPr>
            </w:pPr>
          </w:p>
        </w:tc>
        <w:tc>
          <w:tcPr>
            <w:tcW w:w="640" w:type="dxa"/>
            <w:vMerge w:val="continue"/>
            <w:shd w:val="clear" w:color="auto" w:fill="auto"/>
            <w:vAlign w:val="center"/>
          </w:tcPr>
          <w:p>
            <w:pPr>
              <w:jc w:val="center"/>
              <w:rPr>
                <w:rFonts w:hint="eastAsia" w:ascii="仿宋" w:hAnsi="仿宋" w:eastAsia="仿宋" w:cs="宋体"/>
                <w:color w:val="FF0000"/>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衰退期</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树龄≥16年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pacing w:val="-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5000～6000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FF0000"/>
                <w:sz w:val="22"/>
                <w:szCs w:val="22"/>
              </w:rPr>
            </w:pPr>
            <w:r>
              <w:rPr>
                <w:rFonts w:hint="eastAsia" w:ascii="仿宋" w:hAnsi="仿宋" w:eastAsia="仿宋" w:cs="宋体"/>
                <w:color w:val="auto"/>
                <w:sz w:val="22"/>
                <w:szCs w:val="22"/>
              </w:rPr>
              <w:t>16</w:t>
            </w:r>
          </w:p>
        </w:tc>
        <w:tc>
          <w:tcPr>
            <w:tcW w:w="640" w:type="dxa"/>
            <w:vMerge w:val="continue"/>
            <w:shd w:val="clear" w:color="auto" w:fill="auto"/>
            <w:vAlign w:val="center"/>
          </w:tcPr>
          <w:p>
            <w:pPr>
              <w:kinsoku/>
              <w:autoSpaceDE/>
              <w:autoSpaceDN/>
              <w:adjustRightInd/>
              <w:snapToGrid/>
              <w:jc w:val="center"/>
              <w:textAlignment w:val="auto"/>
              <w:rPr>
                <w:rFonts w:hint="eastAsia" w:ascii="仿宋" w:hAnsi="仿宋" w:eastAsia="仿宋" w:cs="宋体"/>
                <w:color w:val="FF0000"/>
                <w:sz w:val="22"/>
                <w:szCs w:val="22"/>
              </w:rPr>
            </w:pPr>
          </w:p>
        </w:tc>
        <w:tc>
          <w:tcPr>
            <w:tcW w:w="972"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桑果树</w:t>
            </w: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新种植</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pacing w:val="-2"/>
              </w:rPr>
            </w:pPr>
            <w:r>
              <w:rPr>
                <w:rFonts w:hint="eastAsia" w:ascii="仿宋" w:hAnsi="仿宋" w:eastAsia="仿宋" w:cs="宋体"/>
                <w:color w:val="auto"/>
                <w:spacing w:val="-2"/>
              </w:rPr>
              <w:t>种植密度50～120株/亩</w:t>
            </w: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1000～1500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00" w:type="dxa"/>
            <w:vMerge w:val="continue"/>
            <w:vAlign w:val="center"/>
          </w:tcPr>
          <w:p>
            <w:pPr>
              <w:kinsoku/>
              <w:autoSpaceDE/>
              <w:autoSpaceDN/>
              <w:adjustRightInd/>
              <w:snapToGrid/>
              <w:textAlignment w:val="auto"/>
              <w:rPr>
                <w:rFonts w:hint="eastAsia" w:ascii="仿宋" w:hAnsi="仿宋" w:eastAsia="仿宋" w:cs="宋体"/>
                <w:color w:val="FF0000"/>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color w:val="FF0000"/>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种植第1年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1500～2500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00" w:type="dxa"/>
            <w:vMerge w:val="continue"/>
            <w:vAlign w:val="center"/>
          </w:tcPr>
          <w:p>
            <w:pPr>
              <w:kinsoku/>
              <w:autoSpaceDE/>
              <w:autoSpaceDN/>
              <w:adjustRightInd/>
              <w:snapToGrid/>
              <w:textAlignment w:val="auto"/>
              <w:rPr>
                <w:rFonts w:hint="eastAsia" w:ascii="仿宋" w:hAnsi="仿宋" w:eastAsia="仿宋" w:cs="宋体"/>
                <w:color w:val="FF0000"/>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color w:val="FF0000"/>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2年及以上未挂果</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3500～4000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00" w:type="dxa"/>
            <w:vMerge w:val="continue"/>
            <w:vAlign w:val="center"/>
          </w:tcPr>
          <w:p>
            <w:pPr>
              <w:kinsoku/>
              <w:autoSpaceDE/>
              <w:autoSpaceDN/>
              <w:adjustRightInd/>
              <w:snapToGrid/>
              <w:textAlignment w:val="auto"/>
              <w:rPr>
                <w:rFonts w:hint="eastAsia" w:ascii="仿宋" w:hAnsi="仿宋" w:eastAsia="仿宋" w:cs="宋体"/>
                <w:color w:val="FF0000"/>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color w:val="FF0000"/>
                <w:sz w:val="22"/>
                <w:szCs w:val="22"/>
              </w:rPr>
            </w:pPr>
          </w:p>
        </w:tc>
        <w:tc>
          <w:tcPr>
            <w:tcW w:w="972"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　</w:t>
            </w:r>
          </w:p>
        </w:tc>
        <w:tc>
          <w:tcPr>
            <w:tcW w:w="2537"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3年及以上挂果</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亩</w:t>
            </w:r>
          </w:p>
        </w:tc>
        <w:tc>
          <w:tcPr>
            <w:tcW w:w="1315"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66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5000～6500</w:t>
            </w:r>
          </w:p>
        </w:tc>
      </w:tr>
    </w:tbl>
    <w:p>
      <w:pPr>
        <w:spacing w:line="560" w:lineRule="exact"/>
        <w:rPr>
          <w:rFonts w:ascii="仿宋" w:hAnsi="仿宋" w:eastAsia="仿宋" w:cs="仿宋_GB2312"/>
          <w:b/>
          <w:bCs/>
          <w:color w:val="auto"/>
          <w:spacing w:val="11"/>
          <w:sz w:val="32"/>
          <w:szCs w:val="32"/>
        </w:rPr>
      </w:pPr>
      <w:r>
        <w:rPr>
          <w:rFonts w:hint="eastAsia" w:ascii="仿宋" w:hAnsi="仿宋" w:eastAsia="仿宋" w:cs="仿宋_GB2312"/>
          <w:b/>
          <w:bCs/>
          <w:color w:val="auto"/>
          <w:spacing w:val="11"/>
          <w:sz w:val="32"/>
          <w:szCs w:val="32"/>
        </w:rPr>
        <w:t>（三）零星种植果木类补偿标准</w:t>
      </w:r>
    </w:p>
    <w:p>
      <w:pPr>
        <w:spacing w:line="480" w:lineRule="exact"/>
        <w:jc w:val="center"/>
        <w:rPr>
          <w:rFonts w:hint="eastAsia" w:ascii="仿宋" w:hAnsi="仿宋" w:eastAsia="仿宋" w:cs="仿宋_GB2312"/>
          <w:b/>
          <w:bCs/>
          <w:color w:val="auto"/>
          <w:spacing w:val="11"/>
          <w:sz w:val="32"/>
          <w:szCs w:val="32"/>
        </w:rPr>
      </w:pPr>
      <w:r>
        <w:rPr>
          <w:rFonts w:hint="eastAsia" w:ascii="仿宋" w:hAnsi="仿宋" w:eastAsia="仿宋" w:cs="宋体"/>
          <w:b/>
          <w:bCs/>
          <w:sz w:val="24"/>
          <w:szCs w:val="24"/>
        </w:rPr>
        <w:t xml:space="preserve">表3    </w:t>
      </w:r>
      <w:r>
        <w:rPr>
          <w:rFonts w:hint="eastAsia" w:ascii="仿宋" w:hAnsi="仿宋" w:eastAsia="仿宋" w:cs="仿宋_GB2312"/>
          <w:b/>
          <w:bCs/>
          <w:color w:val="auto"/>
          <w:spacing w:val="11"/>
          <w:sz w:val="22"/>
          <w:szCs w:val="22"/>
        </w:rPr>
        <w:t>零星种植果木类青苗补偿</w:t>
      </w:r>
      <w:r>
        <w:rPr>
          <w:rFonts w:hint="eastAsia" w:ascii="仿宋" w:hAnsi="仿宋" w:eastAsia="仿宋" w:cs="宋体"/>
          <w:b/>
          <w:bCs/>
          <w:sz w:val="24"/>
          <w:szCs w:val="24"/>
        </w:rPr>
        <w:t>标准表</w:t>
      </w:r>
    </w:p>
    <w:tbl>
      <w:tblPr>
        <w:tblStyle w:val="5"/>
        <w:tblW w:w="943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57" w:type="dxa"/>
          <w:bottom w:w="0" w:type="dxa"/>
          <w:right w:w="57" w:type="dxa"/>
        </w:tblCellMar>
      </w:tblPr>
      <w:tblGrid>
        <w:gridCol w:w="460"/>
        <w:gridCol w:w="640"/>
        <w:gridCol w:w="1220"/>
        <w:gridCol w:w="580"/>
        <w:gridCol w:w="2057"/>
        <w:gridCol w:w="557"/>
        <w:gridCol w:w="2800"/>
        <w:gridCol w:w="111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585" w:hRule="atLeast"/>
          <w:tblHeader/>
        </w:trPr>
        <w:tc>
          <w:tcPr>
            <w:tcW w:w="460"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序号</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补偿项目</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名称</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规格</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说明</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单位</w:t>
            </w:r>
          </w:p>
        </w:tc>
        <w:tc>
          <w:tcPr>
            <w:tcW w:w="2800"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备注</w:t>
            </w: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补偿标准（元）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w:t>
            </w:r>
          </w:p>
        </w:tc>
        <w:tc>
          <w:tcPr>
            <w:tcW w:w="6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零星果树类</w:t>
            </w: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香蕉、芭蕉、西贡蕉</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新种幼苗</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按种植常规密度130株/亩以内进行清点补偿</w:t>
            </w: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主干1.5米以下</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11～25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主干1.5米以上</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25～45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盛产(挂果)</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45～70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w:t>
            </w: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龙眼、荔枝、芒果、板栗</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3cm以下</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0"/>
                <w:szCs w:val="20"/>
              </w:rPr>
            </w:pPr>
            <w:r>
              <w:rPr>
                <w:rFonts w:hint="eastAsia" w:ascii="仿宋" w:hAnsi="仿宋" w:eastAsia="仿宋" w:cs="宋体"/>
                <w:sz w:val="20"/>
                <w:szCs w:val="20"/>
              </w:rPr>
              <w:t>苗圃：实生苗，每株补偿1元；嫁接苗，每株补偿5元；良种：三年以下的每株补偿30-50元/株；5年的树，每株补偿60-80元/株；6年以上的，每株补偿100-150元/株。按种植常规密度70株/亩以内进行清点补偿，25株以下按零星进行清点补偿</w:t>
            </w: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3cm～5cm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0"/>
                <w:szCs w:val="20"/>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5cm～15cm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0"/>
                <w:szCs w:val="20"/>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15cm～25cm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0"/>
                <w:szCs w:val="20"/>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300-500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Φ25cm以上</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0"/>
                <w:szCs w:val="20"/>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500～800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w:t>
            </w: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扁桃、李果、三华李、酸梅、杨梅、桃、梨、枇杷</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Φ3cm以下</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苗圃木：实生苗每株1元，嫁接苗每株3.5元。按种植常规密度40～60株/亩以内进行清点补偿</w:t>
            </w: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3cm～10cm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10cm～15cm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15cm～20cm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Φ20cm以上</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w:t>
            </w: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山黄皮、黄皮、大青枣、柿子、柠檬</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Φ3cm以下</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苗圃木：实生苗每株1元，嫁接苗每株3.5元。按种植常规密度40～60株/亩以内进行清点补偿</w:t>
            </w: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Φ3cm以上～10cm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Φ10cm以上～15cm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Φ15cm以上～20cm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20cm以上</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w:t>
            </w:r>
          </w:p>
        </w:tc>
        <w:tc>
          <w:tcPr>
            <w:tcW w:w="6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零星果树类</w:t>
            </w: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柑果、橙果、金桔、砂糖橘、皇帝柑</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Φ5cm以下</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按种植常规密度110株/亩以内进行清点补偿</w:t>
            </w: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5cm～8cm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80～120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8cm～12cm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130～200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Φ12cm以上</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200～350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w:t>
            </w: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沃柑、茂谷柑</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Φ3cm以下</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按种植常规密度110株/亩以内进行清点补偿</w:t>
            </w: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3cm～5cm以下</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80～120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5cm～7cm以下</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120～250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7cm～9cm以下</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250～300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Φ9cm以上</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300～400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w:t>
            </w: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木菠萝、橄榄树</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Φ5cm以下</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Φ40cm以上特果树700元/株</w:t>
            </w: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Φ5～10cm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Φ10～20cm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Φ20cm以上</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w:t>
            </w: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木瓜</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苗</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按种植常规密度110株/亩以内进行清点补偿</w:t>
            </w: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未结果</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已结果</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w:t>
            </w: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葡萄</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1年生产期以下</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按种植常规密度360株/亩以内进行清点补偿，含水泥柱、钢丝</w:t>
            </w: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2年生产期</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3～4年初产期</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5年以上盛产期</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w:t>
            </w: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黄金百香果、桑葚</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一年以下</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按种植常规密度120株/亩以内进行清点补偿</w:t>
            </w: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二年以上未结果</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二年以上初结果</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三年以上盛产期</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w:t>
            </w: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水葡萄、无花果、石榴</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Φ5cm以下</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按种植常规密度60株/亩以内进行清点补偿</w:t>
            </w: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Φ5cm～10cm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Φ10cm～20cm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Φ20cm以上</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11</w:t>
            </w: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杨桃树</w:t>
            </w:r>
            <w:r>
              <w:rPr>
                <w:rFonts w:hint="eastAsia" w:ascii="仿宋" w:hAnsi="仿宋" w:eastAsia="仿宋" w:cs="宋体"/>
                <w:sz w:val="22"/>
                <w:szCs w:val="22"/>
              </w:rPr>
              <w:br w:type="textWrapping"/>
            </w:r>
            <w:r>
              <w:rPr>
                <w:rFonts w:hint="eastAsia" w:ascii="仿宋" w:hAnsi="仿宋" w:eastAsia="仿宋" w:cs="宋体"/>
                <w:sz w:val="22"/>
                <w:szCs w:val="22"/>
              </w:rPr>
              <w:t>番桃</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Φ5cm以下</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野生番桃不予；按种植常规密度60株/亩以内进行清点补偿</w:t>
            </w: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Φ5～10cm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Φ10～15cm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35～55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盛产期(</w:t>
            </w:r>
            <w:r>
              <w:rPr>
                <w:rFonts w:ascii="Calibri" w:hAnsi="Calibri" w:eastAsia="仿宋" w:cs="Calibri"/>
                <w:sz w:val="22"/>
                <w:szCs w:val="22"/>
              </w:rPr>
              <w:t>Φ</w:t>
            </w:r>
            <w:r>
              <w:rPr>
                <w:rFonts w:hint="eastAsia" w:ascii="仿宋" w:hAnsi="仿宋" w:eastAsia="仿宋" w:cs="宋体"/>
                <w:sz w:val="22"/>
                <w:szCs w:val="22"/>
              </w:rPr>
              <w:t>15cm以上)</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55～100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w:t>
            </w:r>
          </w:p>
        </w:tc>
        <w:tc>
          <w:tcPr>
            <w:tcW w:w="6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零星果树类</w:t>
            </w: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普通油茶果树(茶油)</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种植2年以下</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按种植常规密度66株/亩以内进行清点补偿</w:t>
            </w: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3-4年初产期</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5年以上盛产期</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100～120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13</w:t>
            </w: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香花茶油</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种植2年以下</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按种植常规密度66株/亩以内进行清点补偿</w:t>
            </w: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3-4年初产期</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60～120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5年以上盛产期</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14</w:t>
            </w: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五眼果树、桐油树</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Φ5cm以下</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Φ5cm~10cm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Φ10cm～40cm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5"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Φ40cm以上</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w:t>
            </w: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释迦果、台湾莲雾、树葡萄（嘉宝果）</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Φ3cm以下</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①按种植常规密度55株/亩以内进行清点补偿。 ②树株径达到15cm以上的,每增加1cm,补偿费相应增加20元/株,最高补偿1000元/株</w:t>
            </w: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Φ3～5cm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Φ5～7m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Φ7～9cm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9cm～</w:t>
            </w:r>
            <w:r>
              <w:rPr>
                <w:rFonts w:ascii="Calibri" w:hAnsi="Calibri" w:eastAsia="仿宋" w:cs="Calibri"/>
                <w:sz w:val="22"/>
                <w:szCs w:val="22"/>
              </w:rPr>
              <w:t>15cm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300～450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16</w:t>
            </w: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澳洲坚果树</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Φ5cm以下</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①按种植常规密度40株/亩以内进行清点补偿。 ②澳洲坚果树树株径达到30cm以上的,每增加10cm,补偿费相应增加100元/株,最高补偿1000元/株</w:t>
            </w: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5～10cm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Φ10～15cm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Φ15～20cm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300～450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0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20～30cm</w:t>
            </w:r>
          </w:p>
        </w:tc>
        <w:tc>
          <w:tcPr>
            <w:tcW w:w="55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28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16"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450～600</w:t>
            </w:r>
          </w:p>
        </w:tc>
      </w:tr>
    </w:tbl>
    <w:p>
      <w:pPr>
        <w:spacing w:line="560" w:lineRule="exact"/>
        <w:rPr>
          <w:rFonts w:ascii="仿宋" w:hAnsi="仿宋" w:eastAsia="仿宋" w:cs="仿宋_GB2312"/>
          <w:b/>
          <w:bCs/>
          <w:color w:val="auto"/>
          <w:spacing w:val="11"/>
          <w:sz w:val="32"/>
          <w:szCs w:val="32"/>
        </w:rPr>
      </w:pPr>
      <w:r>
        <w:rPr>
          <w:rFonts w:hint="eastAsia" w:ascii="仿宋" w:hAnsi="仿宋" w:eastAsia="仿宋" w:cs="仿宋_GB2312"/>
          <w:b/>
          <w:bCs/>
          <w:color w:val="auto"/>
          <w:spacing w:val="11"/>
          <w:sz w:val="32"/>
          <w:szCs w:val="32"/>
        </w:rPr>
        <w:t>（四）成片种植的竹、林木、药材等补偿标准</w:t>
      </w:r>
    </w:p>
    <w:p>
      <w:pPr>
        <w:spacing w:line="480" w:lineRule="exact"/>
        <w:jc w:val="center"/>
        <w:rPr>
          <w:rFonts w:hint="eastAsia" w:ascii="仿宋" w:hAnsi="仿宋" w:eastAsia="仿宋" w:cs="仿宋_GB2312"/>
          <w:b/>
          <w:bCs/>
          <w:color w:val="auto"/>
          <w:spacing w:val="11"/>
          <w:sz w:val="32"/>
          <w:szCs w:val="32"/>
        </w:rPr>
      </w:pPr>
      <w:r>
        <w:rPr>
          <w:rFonts w:hint="eastAsia" w:ascii="仿宋" w:hAnsi="仿宋" w:eastAsia="仿宋" w:cs="宋体"/>
          <w:b/>
          <w:bCs/>
          <w:sz w:val="24"/>
          <w:szCs w:val="24"/>
        </w:rPr>
        <w:t xml:space="preserve">表4  </w:t>
      </w:r>
      <w:r>
        <w:rPr>
          <w:rFonts w:hint="eastAsia" w:ascii="仿宋" w:hAnsi="仿宋" w:eastAsia="仿宋" w:cs="宋体"/>
          <w:b/>
          <w:bCs/>
          <w:sz w:val="20"/>
          <w:szCs w:val="20"/>
        </w:rPr>
        <w:t xml:space="preserve"> </w:t>
      </w:r>
      <w:r>
        <w:rPr>
          <w:rFonts w:hint="eastAsia" w:ascii="仿宋" w:hAnsi="仿宋" w:eastAsia="仿宋" w:cs="仿宋_GB2312"/>
          <w:b/>
          <w:bCs/>
          <w:color w:val="auto"/>
          <w:spacing w:val="11"/>
          <w:sz w:val="22"/>
          <w:szCs w:val="22"/>
        </w:rPr>
        <w:t>成片种植的竹、林木、药材等青苗补偿</w:t>
      </w:r>
      <w:r>
        <w:rPr>
          <w:rFonts w:hint="eastAsia" w:ascii="仿宋" w:hAnsi="仿宋" w:eastAsia="仿宋" w:cs="宋体"/>
          <w:b/>
          <w:bCs/>
          <w:sz w:val="24"/>
          <w:szCs w:val="24"/>
        </w:rPr>
        <w:t>标准表</w:t>
      </w:r>
    </w:p>
    <w:tbl>
      <w:tblPr>
        <w:tblStyle w:val="5"/>
        <w:tblW w:w="949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57" w:type="dxa"/>
          <w:bottom w:w="0" w:type="dxa"/>
          <w:right w:w="57" w:type="dxa"/>
        </w:tblCellMar>
      </w:tblPr>
      <w:tblGrid>
        <w:gridCol w:w="501"/>
        <w:gridCol w:w="656"/>
        <w:gridCol w:w="1178"/>
        <w:gridCol w:w="938"/>
        <w:gridCol w:w="2534"/>
        <w:gridCol w:w="639"/>
        <w:gridCol w:w="1558"/>
        <w:gridCol w:w="148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15" w:hRule="atLeast"/>
          <w:tblHeader/>
          <w:jc w:val="center"/>
        </w:trPr>
        <w:tc>
          <w:tcPr>
            <w:tcW w:w="501"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序号</w:t>
            </w:r>
          </w:p>
        </w:tc>
        <w:tc>
          <w:tcPr>
            <w:tcW w:w="656"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补偿项目</w:t>
            </w:r>
          </w:p>
        </w:tc>
        <w:tc>
          <w:tcPr>
            <w:tcW w:w="1178"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名称</w:t>
            </w: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规格</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说明</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单位</w:t>
            </w:r>
          </w:p>
        </w:tc>
        <w:tc>
          <w:tcPr>
            <w:tcW w:w="1558"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备注</w:t>
            </w: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补偿标准 （元/亩）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exact"/>
          <w:jc w:val="center"/>
        </w:trPr>
        <w:tc>
          <w:tcPr>
            <w:tcW w:w="501"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w:t>
            </w:r>
          </w:p>
        </w:tc>
        <w:tc>
          <w:tcPr>
            <w:tcW w:w="656" w:type="dxa"/>
            <w:vMerge w:val="restart"/>
            <w:shd w:val="clear" w:color="auto" w:fill="auto"/>
            <w:vAlign w:val="center"/>
          </w:tcPr>
          <w:p>
            <w:pPr>
              <w:kinsoku/>
              <w:autoSpaceDE/>
              <w:autoSpaceDN/>
              <w:adjustRightInd/>
              <w:snapToGrid/>
              <w:jc w:val="center"/>
              <w:textAlignment w:val="auto"/>
              <w:rPr>
                <w:rFonts w:hint="default" w:ascii="仿宋" w:hAnsi="仿宋" w:eastAsia="仿宋" w:cs="宋体"/>
                <w:sz w:val="22"/>
                <w:szCs w:val="22"/>
                <w:lang w:val="en-US" w:eastAsia="zh-CN"/>
              </w:rPr>
            </w:pPr>
            <w:r>
              <w:rPr>
                <w:rFonts w:hint="eastAsia" w:ascii="仿宋" w:hAnsi="仿宋" w:eastAsia="仿宋" w:cs="宋体"/>
                <w:sz w:val="22"/>
                <w:szCs w:val="22"/>
                <w:lang w:val="en-US" w:eastAsia="zh-CN"/>
              </w:rPr>
              <w:t>林木、竹、药材类</w:t>
            </w:r>
          </w:p>
        </w:tc>
        <w:tc>
          <w:tcPr>
            <w:tcW w:w="117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速生桉</w:t>
            </w: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新造林</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包括＜0.5年的萌芽林</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亩植密度120～160株/亩</w:t>
            </w: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1000～1500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exact"/>
          <w:jc w:val="center"/>
        </w:trPr>
        <w:tc>
          <w:tcPr>
            <w:tcW w:w="501"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幼龄林</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林龄1～2年</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1500～2200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exact"/>
          <w:jc w:val="center"/>
        </w:trPr>
        <w:tc>
          <w:tcPr>
            <w:tcW w:w="501"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中龄林</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林龄3～4年</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2200～4000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exact"/>
          <w:jc w:val="center"/>
        </w:trPr>
        <w:tc>
          <w:tcPr>
            <w:tcW w:w="501"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成熟林</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林龄＞5年</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2000～2500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exact"/>
          <w:jc w:val="center"/>
        </w:trPr>
        <w:tc>
          <w:tcPr>
            <w:tcW w:w="501"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lang w:eastAsia="zh-CN"/>
              </w:rPr>
            </w:pPr>
            <w:r>
              <w:rPr>
                <w:rFonts w:hint="eastAsia" w:ascii="仿宋" w:hAnsi="仿宋" w:eastAsia="仿宋" w:cs="宋体"/>
                <w:color w:val="auto"/>
                <w:sz w:val="22"/>
                <w:szCs w:val="22"/>
                <w:lang w:val="en-US" w:eastAsia="zh-CN"/>
              </w:rPr>
              <w:t>2</w:t>
            </w: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竹类</w:t>
            </w: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单竹</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种植密度大于1200株/亩</w:t>
            </w: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4000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exact"/>
          <w:jc w:val="center"/>
        </w:trPr>
        <w:tc>
          <w:tcPr>
            <w:tcW w:w="501"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撑篙竹</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exact"/>
          <w:jc w:val="center"/>
        </w:trPr>
        <w:tc>
          <w:tcPr>
            <w:tcW w:w="501"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挑担竹</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exact"/>
          <w:jc w:val="center"/>
        </w:trPr>
        <w:tc>
          <w:tcPr>
            <w:tcW w:w="501"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甜笋竹</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5000～7000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3" w:hRule="exact"/>
          <w:jc w:val="center"/>
        </w:trPr>
        <w:tc>
          <w:tcPr>
            <w:tcW w:w="501"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lang w:eastAsia="zh-CN"/>
              </w:rPr>
            </w:pPr>
            <w:r>
              <w:rPr>
                <w:rFonts w:hint="eastAsia" w:ascii="仿宋" w:hAnsi="仿宋" w:eastAsia="仿宋" w:cs="宋体"/>
                <w:sz w:val="22"/>
                <w:szCs w:val="22"/>
                <w:lang w:val="en-US" w:eastAsia="zh-CN"/>
              </w:rPr>
              <w:t>3</w:t>
            </w:r>
          </w:p>
        </w:tc>
        <w:tc>
          <w:tcPr>
            <w:tcW w:w="656" w:type="dxa"/>
            <w:vMerge w:val="restart"/>
            <w:shd w:val="clear" w:color="auto" w:fill="auto"/>
            <w:vAlign w:val="center"/>
          </w:tcPr>
          <w:p>
            <w:pPr>
              <w:kinsoku/>
              <w:autoSpaceDE/>
              <w:autoSpaceDN/>
              <w:adjustRightInd/>
              <w:snapToGrid/>
              <w:jc w:val="both"/>
              <w:textAlignment w:val="auto"/>
              <w:rPr>
                <w:rFonts w:hint="eastAsia" w:ascii="仿宋" w:hAnsi="仿宋" w:eastAsia="仿宋" w:cs="宋体"/>
                <w:sz w:val="22"/>
                <w:szCs w:val="22"/>
              </w:rPr>
            </w:pPr>
          </w:p>
        </w:tc>
        <w:tc>
          <w:tcPr>
            <w:tcW w:w="117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桑树（叶桑）</w:t>
            </w: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种植第1年</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种植密度1000～2000株/亩</w:t>
            </w: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1500～2000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3" w:hRule="exact"/>
          <w:jc w:val="center"/>
        </w:trPr>
        <w:tc>
          <w:tcPr>
            <w:tcW w:w="501"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种植第2年</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3000～4000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3" w:hRule="exact"/>
          <w:jc w:val="center"/>
        </w:trPr>
        <w:tc>
          <w:tcPr>
            <w:tcW w:w="501"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种植第3年及以上</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5000～6000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3" w:hRule="exact"/>
          <w:jc w:val="center"/>
        </w:trPr>
        <w:tc>
          <w:tcPr>
            <w:tcW w:w="501"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lang w:eastAsia="zh-CN"/>
              </w:rPr>
            </w:pPr>
            <w:r>
              <w:rPr>
                <w:rFonts w:hint="eastAsia" w:ascii="仿宋" w:hAnsi="仿宋" w:eastAsia="仿宋" w:cs="宋体"/>
                <w:sz w:val="22"/>
                <w:szCs w:val="22"/>
                <w:lang w:val="en-US" w:eastAsia="zh-CN"/>
              </w:rPr>
              <w:t>4</w:t>
            </w: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剑麻</w:t>
            </w: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种植1年以下</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在裸石地上和零星种植剑麻的按实际种植面积计算补偿</w:t>
            </w: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6600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3" w:hRule="exact"/>
          <w:jc w:val="center"/>
        </w:trPr>
        <w:tc>
          <w:tcPr>
            <w:tcW w:w="501"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种植1年以上2年以下</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9900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3" w:hRule="exact"/>
          <w:jc w:val="center"/>
        </w:trPr>
        <w:tc>
          <w:tcPr>
            <w:tcW w:w="501"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种植2年以上3年以下</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13200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3" w:hRule="exact"/>
          <w:jc w:val="center"/>
        </w:trPr>
        <w:tc>
          <w:tcPr>
            <w:tcW w:w="501"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种植3年以上</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16500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3" w:hRule="exact"/>
          <w:jc w:val="center"/>
        </w:trPr>
        <w:tc>
          <w:tcPr>
            <w:tcW w:w="5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lang w:eastAsia="zh-CN"/>
              </w:rPr>
            </w:pPr>
            <w:r>
              <w:rPr>
                <w:rFonts w:hint="eastAsia" w:ascii="仿宋" w:hAnsi="仿宋" w:eastAsia="仿宋" w:cs="宋体"/>
                <w:sz w:val="22"/>
                <w:szCs w:val="22"/>
                <w:lang w:val="en-US" w:eastAsia="zh-CN"/>
              </w:rPr>
              <w:t>5</w:t>
            </w: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粽叶</w:t>
            </w: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3000～5000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501"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lang w:eastAsia="zh-CN"/>
              </w:rPr>
            </w:pPr>
            <w:r>
              <w:rPr>
                <w:rFonts w:hint="eastAsia" w:ascii="仿宋" w:hAnsi="仿宋" w:eastAsia="仿宋" w:cs="宋体"/>
                <w:sz w:val="22"/>
                <w:szCs w:val="22"/>
                <w:lang w:val="en-US" w:eastAsia="zh-CN"/>
              </w:rPr>
              <w:t>6</w:t>
            </w: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牛大力（不搭架种植）</w:t>
            </w: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种植第一年</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种植密度800～1000株/亩</w:t>
            </w: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6000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501"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种植第二年</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501"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种植第三年及以上</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501"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牛大力（搭水泥柱支架种植）</w:t>
            </w: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种植第一年</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9000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501"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种植第二年</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13000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501"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56"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7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3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534"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种植第三年及以上</w:t>
            </w:r>
          </w:p>
        </w:tc>
        <w:tc>
          <w:tcPr>
            <w:tcW w:w="63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155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89"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18000</w:t>
            </w:r>
          </w:p>
        </w:tc>
      </w:tr>
    </w:tbl>
    <w:p>
      <w:pPr>
        <w:spacing w:line="560" w:lineRule="exact"/>
        <w:rPr>
          <w:rFonts w:ascii="仿宋" w:hAnsi="仿宋" w:eastAsia="仿宋" w:cs="仿宋_GB2312"/>
          <w:b/>
          <w:bCs/>
          <w:color w:val="auto"/>
          <w:spacing w:val="11"/>
          <w:sz w:val="32"/>
          <w:szCs w:val="32"/>
        </w:rPr>
      </w:pPr>
      <w:r>
        <w:rPr>
          <w:rFonts w:hint="eastAsia" w:ascii="仿宋" w:hAnsi="仿宋" w:eastAsia="仿宋" w:cs="仿宋_GB2312"/>
          <w:b/>
          <w:bCs/>
          <w:color w:val="auto"/>
          <w:spacing w:val="11"/>
          <w:sz w:val="32"/>
          <w:szCs w:val="32"/>
        </w:rPr>
        <w:t>（五）零星种植的竹、林木、药材等补偿标准</w:t>
      </w:r>
    </w:p>
    <w:p>
      <w:pPr>
        <w:spacing w:line="480" w:lineRule="exact"/>
        <w:jc w:val="center"/>
        <w:rPr>
          <w:rFonts w:hint="eastAsia" w:ascii="仿宋" w:hAnsi="仿宋" w:eastAsia="仿宋" w:cs="仿宋_GB2312"/>
          <w:b/>
          <w:bCs/>
          <w:color w:val="auto"/>
          <w:spacing w:val="11"/>
          <w:sz w:val="32"/>
          <w:szCs w:val="32"/>
        </w:rPr>
      </w:pPr>
      <w:r>
        <w:rPr>
          <w:rFonts w:hint="eastAsia" w:ascii="仿宋" w:hAnsi="仿宋" w:eastAsia="仿宋" w:cs="宋体"/>
          <w:b/>
          <w:bCs/>
          <w:sz w:val="24"/>
          <w:szCs w:val="24"/>
        </w:rPr>
        <w:t xml:space="preserve">表5  </w:t>
      </w:r>
      <w:r>
        <w:rPr>
          <w:rFonts w:hint="eastAsia" w:ascii="仿宋" w:hAnsi="仿宋" w:eastAsia="仿宋" w:cs="宋体"/>
          <w:b/>
          <w:bCs/>
          <w:sz w:val="20"/>
          <w:szCs w:val="20"/>
        </w:rPr>
        <w:t xml:space="preserve"> </w:t>
      </w:r>
      <w:r>
        <w:rPr>
          <w:rFonts w:hint="eastAsia" w:ascii="仿宋" w:hAnsi="仿宋" w:eastAsia="仿宋" w:cs="仿宋_GB2312"/>
          <w:b/>
          <w:bCs/>
          <w:color w:val="auto"/>
          <w:spacing w:val="11"/>
          <w:sz w:val="22"/>
          <w:szCs w:val="22"/>
        </w:rPr>
        <w:t>零星种植的竹、林木、药材等青苗补偿</w:t>
      </w:r>
      <w:r>
        <w:rPr>
          <w:rFonts w:hint="eastAsia" w:ascii="仿宋" w:hAnsi="仿宋" w:eastAsia="仿宋" w:cs="宋体"/>
          <w:b/>
          <w:bCs/>
          <w:sz w:val="24"/>
          <w:szCs w:val="24"/>
        </w:rPr>
        <w:t>标准表</w:t>
      </w:r>
    </w:p>
    <w:tbl>
      <w:tblPr>
        <w:tblStyle w:val="5"/>
        <w:tblW w:w="961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57" w:type="dxa"/>
          <w:bottom w:w="0" w:type="dxa"/>
          <w:right w:w="57" w:type="dxa"/>
        </w:tblCellMar>
      </w:tblPr>
      <w:tblGrid>
        <w:gridCol w:w="460"/>
        <w:gridCol w:w="640"/>
        <w:gridCol w:w="1220"/>
        <w:gridCol w:w="580"/>
        <w:gridCol w:w="2755"/>
        <w:gridCol w:w="620"/>
        <w:gridCol w:w="1638"/>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tcBorders>
              <w:top w:val="single" w:color="auto" w:sz="12" w:space="0"/>
              <w:left w:val="single" w:color="auto" w:sz="12" w:space="0"/>
              <w:bottom w:val="single" w:color="auto" w:sz="12" w:space="0"/>
              <w:right w:val="single" w:color="auto" w:sz="6" w:space="0"/>
            </w:tcBorders>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序号</w:t>
            </w:r>
          </w:p>
        </w:tc>
        <w:tc>
          <w:tcPr>
            <w:tcW w:w="640" w:type="dxa"/>
            <w:tcBorders>
              <w:top w:val="single" w:color="auto" w:sz="12" w:space="0"/>
              <w:left w:val="single" w:color="auto" w:sz="6" w:space="0"/>
              <w:bottom w:val="single" w:color="auto" w:sz="12" w:space="0"/>
              <w:right w:val="single" w:color="auto" w:sz="6" w:space="0"/>
            </w:tcBorders>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补偿项目</w:t>
            </w:r>
          </w:p>
        </w:tc>
        <w:tc>
          <w:tcPr>
            <w:tcW w:w="1220" w:type="dxa"/>
            <w:tcBorders>
              <w:top w:val="single" w:color="auto" w:sz="12" w:space="0"/>
              <w:left w:val="single" w:color="auto" w:sz="6" w:space="0"/>
              <w:bottom w:val="single" w:color="auto" w:sz="12" w:space="0"/>
              <w:right w:val="single" w:color="auto" w:sz="6" w:space="0"/>
            </w:tcBorders>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名称</w:t>
            </w:r>
          </w:p>
        </w:tc>
        <w:tc>
          <w:tcPr>
            <w:tcW w:w="580" w:type="dxa"/>
            <w:tcBorders>
              <w:top w:val="single" w:color="auto" w:sz="12" w:space="0"/>
              <w:left w:val="single" w:color="auto" w:sz="6" w:space="0"/>
              <w:bottom w:val="single" w:color="auto" w:sz="12" w:space="0"/>
              <w:right w:val="single" w:color="auto" w:sz="6" w:space="0"/>
            </w:tcBorders>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规格</w:t>
            </w:r>
          </w:p>
        </w:tc>
        <w:tc>
          <w:tcPr>
            <w:tcW w:w="2755" w:type="dxa"/>
            <w:tcBorders>
              <w:top w:val="single" w:color="auto" w:sz="12" w:space="0"/>
              <w:left w:val="single" w:color="auto" w:sz="6" w:space="0"/>
              <w:bottom w:val="single" w:color="auto" w:sz="12" w:space="0"/>
              <w:right w:val="single" w:color="auto" w:sz="6" w:space="0"/>
            </w:tcBorders>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说明</w:t>
            </w:r>
          </w:p>
        </w:tc>
        <w:tc>
          <w:tcPr>
            <w:tcW w:w="620" w:type="dxa"/>
            <w:tcBorders>
              <w:top w:val="single" w:color="auto" w:sz="12" w:space="0"/>
              <w:left w:val="single" w:color="auto" w:sz="6" w:space="0"/>
              <w:bottom w:val="single" w:color="auto" w:sz="12" w:space="0"/>
              <w:right w:val="single" w:color="auto" w:sz="6" w:space="0"/>
            </w:tcBorders>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单位</w:t>
            </w:r>
          </w:p>
        </w:tc>
        <w:tc>
          <w:tcPr>
            <w:tcW w:w="1638" w:type="dxa"/>
            <w:tcBorders>
              <w:top w:val="single" w:color="auto" w:sz="12" w:space="0"/>
              <w:left w:val="single" w:color="auto" w:sz="6" w:space="0"/>
              <w:bottom w:val="single" w:color="auto" w:sz="12" w:space="0"/>
              <w:right w:val="single" w:color="auto" w:sz="6" w:space="0"/>
            </w:tcBorders>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备注</w:t>
            </w:r>
          </w:p>
        </w:tc>
        <w:tc>
          <w:tcPr>
            <w:tcW w:w="1701" w:type="dxa"/>
            <w:tcBorders>
              <w:top w:val="single" w:color="auto" w:sz="12" w:space="0"/>
              <w:left w:val="single" w:color="auto" w:sz="6" w:space="0"/>
              <w:bottom w:val="single" w:color="auto" w:sz="12" w:space="0"/>
              <w:right w:val="single" w:color="auto" w:sz="12" w:space="0"/>
            </w:tcBorders>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补偿标准（元）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w:t>
            </w:r>
          </w:p>
        </w:tc>
        <w:tc>
          <w:tcPr>
            <w:tcW w:w="6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零星林木类</w:t>
            </w: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八角树</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Φ3cm以下</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按种植常规密度50株/亩以内进行清点补偿</w:t>
            </w: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Φ3～5cm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Φ5～10cm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Φ10～20cm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Φ20～30cm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500～800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Φ30～40cm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800～1200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Φ40～60cm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1200～3000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Φ60cm以上</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w:t>
            </w: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松树、杉树、柏树、桂皮树</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Φ3cm以下</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按种植常规密度160株/亩以内进行清点补偿</w:t>
            </w: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3cm～5cm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5cm～10cm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10cm～20cm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20cm～30cm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Φ30cm以上</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200～400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w:t>
            </w: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榕树、樟树、木棉</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Φ5cm以下</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Φ5～20cm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Φ20～50cm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Φ50～70cm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500～1000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Φ71cm以上特大</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1000～3000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w:t>
            </w: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苦楝树、相思树、红豆杉、桉树</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Φ3cm以下</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按种植常规密度110株/亩以内进行清点补偿</w:t>
            </w: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3cm～5cm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5cm～10cm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10cm～20cm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20cm～30cm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Φ30cm以上</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w:t>
            </w: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其他杂木</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Φ3cm以下</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3cm～5cm以下</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ascii="Calibri" w:hAnsi="Calibri" w:eastAsia="仿宋" w:cs="Calibri"/>
                <w:sz w:val="22"/>
                <w:szCs w:val="22"/>
              </w:rPr>
              <w:t>Φ</w:t>
            </w:r>
            <w:r>
              <w:rPr>
                <w:rFonts w:hint="eastAsia" w:ascii="仿宋" w:hAnsi="仿宋" w:eastAsia="仿宋" w:cs="宋体"/>
                <w:sz w:val="22"/>
                <w:szCs w:val="22"/>
              </w:rPr>
              <w:t>5cm～10cm以下</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Φ10cm以上</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6</w:t>
            </w:r>
          </w:p>
        </w:tc>
        <w:tc>
          <w:tcPr>
            <w:tcW w:w="64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桂花树</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Φ3cm以下</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株</w:t>
            </w:r>
          </w:p>
        </w:tc>
        <w:tc>
          <w:tcPr>
            <w:tcW w:w="163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按种植常规密度110株/亩以下且种植30年以内进行清点补偿</w:t>
            </w: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10～20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Φ3～5cm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30～120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Φ5～10cm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120～400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Φ10～20cm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400～1200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Φ20～30cm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1200～1800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Φ30cm及以上</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7</w:t>
            </w:r>
          </w:p>
        </w:tc>
        <w:tc>
          <w:tcPr>
            <w:tcW w:w="64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罗汉松、黄花梨、沉香树</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树苗</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株</w:t>
            </w:r>
          </w:p>
        </w:tc>
        <w:tc>
          <w:tcPr>
            <w:tcW w:w="163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按种植常规密度110株/亩以下且种植30年以内进行清点补偿</w:t>
            </w: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10～20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Φ3cm以下</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20～30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Φ3～5cm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30～50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Φ5～10cm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50～220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Φ10～20cm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220～600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Φ20～30cm</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600～1500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Φ30cm及以上</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1800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w:t>
            </w:r>
          </w:p>
        </w:tc>
        <w:tc>
          <w:tcPr>
            <w:tcW w:w="6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其他零星</w:t>
            </w: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剑麻</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小叶片长80cm以下</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大叶片长80cm以上</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9</w:t>
            </w: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竹类</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单竹</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株</w:t>
            </w:r>
          </w:p>
        </w:tc>
        <w:tc>
          <w:tcPr>
            <w:tcW w:w="1638"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2～3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撑篙竹</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4～7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挑担竹</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8～13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　</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甜笋竹</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株</w:t>
            </w:r>
          </w:p>
        </w:tc>
        <w:tc>
          <w:tcPr>
            <w:tcW w:w="1638" w:type="dxa"/>
            <w:vMerge w:val="continue"/>
            <w:vAlign w:val="center"/>
          </w:tcPr>
          <w:p>
            <w:pPr>
              <w:kinsoku/>
              <w:autoSpaceDE/>
              <w:autoSpaceDN/>
              <w:adjustRightInd/>
              <w:snapToGrid/>
              <w:textAlignment w:val="auto"/>
              <w:rPr>
                <w:rFonts w:hint="eastAsia" w:ascii="仿宋" w:hAnsi="仿宋" w:eastAsia="仿宋" w:cs="宋体"/>
                <w:color w:val="auto"/>
                <w:sz w:val="22"/>
                <w:szCs w:val="22"/>
              </w:rPr>
            </w:pP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6～8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jc w:val="center"/>
        </w:trPr>
        <w:tc>
          <w:tcPr>
            <w:tcW w:w="4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w:t>
            </w:r>
          </w:p>
        </w:tc>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粽叶</w:t>
            </w:r>
          </w:p>
        </w:tc>
        <w:tc>
          <w:tcPr>
            <w:tcW w:w="5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755"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2"/>
                <w:szCs w:val="22"/>
              </w:rPr>
            </w:pPr>
            <w:r>
              <w:rPr>
                <w:rFonts w:hint="eastAsia" w:ascii="仿宋" w:hAnsi="仿宋" w:eastAsia="仿宋" w:cs="宋体"/>
                <w:color w:val="auto"/>
                <w:sz w:val="22"/>
                <w:szCs w:val="22"/>
              </w:rPr>
              <w:t>张</w:t>
            </w:r>
          </w:p>
        </w:tc>
        <w:tc>
          <w:tcPr>
            <w:tcW w:w="1638"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701"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0.1～0.2</w:t>
            </w:r>
          </w:p>
        </w:tc>
      </w:tr>
    </w:tbl>
    <w:p>
      <w:pPr>
        <w:widowControl w:val="0"/>
        <w:spacing w:line="500" w:lineRule="exact"/>
        <w:jc w:val="both"/>
        <w:rPr>
          <w:rFonts w:hint="eastAsia" w:ascii="仿宋" w:hAnsi="仿宋" w:eastAsia="仿宋" w:cs="仿宋_GB2312"/>
          <w:spacing w:val="-11"/>
          <w:sz w:val="28"/>
          <w:szCs w:val="28"/>
        </w:rPr>
      </w:pPr>
      <w:r>
        <w:rPr>
          <w:rFonts w:hint="eastAsia" w:ascii="仿宋" w:hAnsi="仿宋" w:eastAsia="仿宋" w:cs="仿宋_GB2312"/>
          <w:spacing w:val="-11"/>
          <w:sz w:val="28"/>
          <w:szCs w:val="28"/>
        </w:rPr>
        <w:t>说明：1.凡征收土地涉及前款未列举青苗的，可参照前款所列相近的类型、品种、单位及</w:t>
      </w:r>
      <w:r>
        <w:rPr>
          <w:rFonts w:hint="eastAsia" w:ascii="仿宋" w:hAnsi="仿宋" w:eastAsia="仿宋" w:cs="仿宋_GB2312"/>
          <w:spacing w:val="-14"/>
          <w:sz w:val="28"/>
          <w:szCs w:val="28"/>
        </w:rPr>
        <w:t>补偿标准执行；</w:t>
      </w:r>
    </w:p>
    <w:p>
      <w:pPr>
        <w:widowControl w:val="0"/>
        <w:spacing w:line="500" w:lineRule="exact"/>
        <w:ind w:firstLine="504" w:firstLineChars="200"/>
        <w:jc w:val="both"/>
        <w:rPr>
          <w:rFonts w:hint="eastAsia" w:ascii="仿宋" w:hAnsi="仿宋" w:eastAsia="仿宋" w:cs="仿宋_GB2312"/>
          <w:spacing w:val="-14"/>
          <w:sz w:val="28"/>
          <w:szCs w:val="28"/>
        </w:rPr>
      </w:pPr>
      <w:r>
        <w:rPr>
          <w:rFonts w:hint="eastAsia" w:ascii="仿宋" w:hAnsi="仿宋" w:eastAsia="仿宋" w:cs="仿宋_GB2312"/>
          <w:spacing w:val="-14"/>
          <w:sz w:val="28"/>
          <w:szCs w:val="28"/>
        </w:rPr>
        <w:t>2.本表所列直径Φ均为胸径。</w:t>
      </w:r>
      <w:r>
        <w:rPr>
          <w:rFonts w:hint="eastAsia" w:ascii="仿宋" w:hAnsi="仿宋" w:eastAsia="仿宋" w:cs="仿宋_GB2312"/>
          <w:spacing w:val="-12"/>
          <w:sz w:val="28"/>
          <w:szCs w:val="28"/>
        </w:rPr>
        <w:t>同品种各项规格中，上一项包含本数；</w:t>
      </w:r>
    </w:p>
    <w:p>
      <w:pPr>
        <w:widowControl w:val="0"/>
        <w:spacing w:line="500" w:lineRule="exact"/>
        <w:ind w:firstLine="504" w:firstLineChars="200"/>
        <w:jc w:val="both"/>
        <w:rPr>
          <w:rFonts w:hint="eastAsia" w:ascii="仿宋" w:hAnsi="仿宋" w:eastAsia="仿宋" w:cs="仿宋_GB2312"/>
          <w:spacing w:val="10"/>
          <w:sz w:val="28"/>
          <w:szCs w:val="28"/>
        </w:rPr>
      </w:pPr>
      <w:r>
        <w:rPr>
          <w:rFonts w:hint="eastAsia" w:ascii="仿宋" w:hAnsi="仿宋" w:eastAsia="仿宋" w:cs="仿宋_GB2312"/>
          <w:spacing w:val="-14"/>
          <w:sz w:val="28"/>
          <w:szCs w:val="28"/>
        </w:rPr>
        <w:t>3.亩产超出常规密度部分不予补偿；</w:t>
      </w:r>
      <w:r>
        <w:rPr>
          <w:rFonts w:hint="eastAsia" w:ascii="仿宋" w:hAnsi="仿宋" w:eastAsia="仿宋" w:cs="仿宋_GB2312"/>
          <w:spacing w:val="10"/>
          <w:sz w:val="28"/>
          <w:szCs w:val="28"/>
        </w:rPr>
        <w:t xml:space="preserve"> </w:t>
      </w:r>
    </w:p>
    <w:p>
      <w:pPr>
        <w:widowControl w:val="0"/>
        <w:spacing w:line="500" w:lineRule="exact"/>
        <w:ind w:firstLine="512" w:firstLineChars="200"/>
        <w:jc w:val="both"/>
        <w:rPr>
          <w:rFonts w:hint="eastAsia" w:ascii="仿宋" w:hAnsi="仿宋" w:eastAsia="仿宋" w:cs="仿宋_GB2312"/>
          <w:spacing w:val="-12"/>
          <w:sz w:val="28"/>
          <w:szCs w:val="28"/>
        </w:rPr>
      </w:pPr>
      <w:r>
        <w:rPr>
          <w:rFonts w:hint="eastAsia" w:ascii="仿宋" w:hAnsi="仿宋" w:eastAsia="仿宋" w:cs="仿宋_GB2312"/>
          <w:spacing w:val="-12"/>
          <w:sz w:val="28"/>
          <w:szCs w:val="28"/>
        </w:rPr>
        <w:t>4.经年未管护的，按照同类型标准的50%进行补偿，管护不到位及长势较差的，按照同类型标准的70%补偿。同品种各项规格中，上一项包含本数。</w:t>
      </w:r>
    </w:p>
    <w:p>
      <w:pPr>
        <w:spacing w:line="500" w:lineRule="exact"/>
        <w:ind w:firstLine="512" w:firstLineChars="200"/>
        <w:rPr>
          <w:rFonts w:hint="eastAsia" w:ascii="仿宋" w:hAnsi="仿宋" w:eastAsia="仿宋" w:cs="仿宋_GB2312"/>
          <w:spacing w:val="-12"/>
          <w:sz w:val="28"/>
          <w:szCs w:val="28"/>
        </w:rPr>
      </w:pPr>
      <w:r>
        <w:rPr>
          <w:rFonts w:hint="eastAsia" w:ascii="仿宋" w:hAnsi="仿宋" w:eastAsia="仿宋" w:cs="仿宋_GB2312"/>
          <w:spacing w:val="-12"/>
          <w:sz w:val="28"/>
          <w:szCs w:val="28"/>
        </w:rPr>
        <w:t>5.属于名贵林木的、经济价值较高或不在本补偿范围内的景观苗木，可根据实际情况进行市场询价或评估后确定补偿费用。</w:t>
      </w:r>
    </w:p>
    <w:p>
      <w:pPr>
        <w:spacing w:before="120" w:beforeLines="50" w:line="500" w:lineRule="exact"/>
        <w:jc w:val="both"/>
        <w:outlineLvl w:val="0"/>
        <w:rPr>
          <w:rFonts w:ascii="仿宋" w:hAnsi="仿宋" w:eastAsia="仿宋" w:cs="仿宋_GB2312"/>
          <w:b/>
          <w:bCs/>
          <w:spacing w:val="-4"/>
          <w:sz w:val="32"/>
          <w:szCs w:val="32"/>
        </w:rPr>
      </w:pPr>
      <w:r>
        <w:rPr>
          <w:rFonts w:hint="eastAsia" w:ascii="仿宋" w:hAnsi="仿宋" w:eastAsia="仿宋" w:cs="仿宋_GB2312"/>
          <w:b/>
          <w:bCs/>
          <w:spacing w:val="-4"/>
          <w:sz w:val="32"/>
          <w:szCs w:val="32"/>
        </w:rPr>
        <w:t>二、集体土地上住宅房屋拆迁补偿价格指导标准</w:t>
      </w:r>
    </w:p>
    <w:p>
      <w:pPr>
        <w:spacing w:line="480" w:lineRule="exact"/>
        <w:jc w:val="center"/>
        <w:rPr>
          <w:rFonts w:hint="eastAsia" w:ascii="仿宋" w:hAnsi="仿宋" w:eastAsia="仿宋" w:cs="仿宋_GB2312"/>
          <w:b/>
          <w:bCs/>
          <w:color w:val="auto"/>
          <w:spacing w:val="11"/>
          <w:sz w:val="32"/>
          <w:szCs w:val="32"/>
        </w:rPr>
      </w:pPr>
      <w:r>
        <w:rPr>
          <w:rFonts w:hint="eastAsia" w:ascii="仿宋" w:hAnsi="仿宋" w:eastAsia="仿宋" w:cs="宋体"/>
          <w:b/>
          <w:bCs/>
          <w:sz w:val="24"/>
          <w:szCs w:val="24"/>
        </w:rPr>
        <w:t xml:space="preserve">表6  </w:t>
      </w:r>
      <w:r>
        <w:rPr>
          <w:rFonts w:hint="eastAsia" w:ascii="仿宋" w:hAnsi="仿宋" w:eastAsia="仿宋" w:cs="宋体"/>
          <w:b/>
          <w:bCs/>
          <w:sz w:val="20"/>
          <w:szCs w:val="20"/>
        </w:rPr>
        <w:t xml:space="preserve"> </w:t>
      </w:r>
      <w:r>
        <w:rPr>
          <w:rFonts w:hint="eastAsia" w:ascii="仿宋" w:hAnsi="仿宋" w:eastAsia="仿宋" w:cs="仿宋_GB2312"/>
          <w:b/>
          <w:bCs/>
          <w:color w:val="auto"/>
          <w:spacing w:val="11"/>
          <w:sz w:val="22"/>
          <w:szCs w:val="22"/>
        </w:rPr>
        <w:t>成片种植的竹、林木、药材等青苗补偿</w:t>
      </w:r>
      <w:r>
        <w:rPr>
          <w:rFonts w:hint="eastAsia" w:ascii="仿宋" w:hAnsi="仿宋" w:eastAsia="仿宋" w:cs="宋体"/>
          <w:b/>
          <w:bCs/>
          <w:sz w:val="24"/>
          <w:szCs w:val="24"/>
        </w:rPr>
        <w:t>标准表</w:t>
      </w:r>
    </w:p>
    <w:tbl>
      <w:tblPr>
        <w:tblStyle w:val="5"/>
        <w:tblW w:w="937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57" w:type="dxa"/>
          <w:bottom w:w="0" w:type="dxa"/>
          <w:right w:w="57" w:type="dxa"/>
        </w:tblCellMar>
      </w:tblPr>
      <w:tblGrid>
        <w:gridCol w:w="500"/>
        <w:gridCol w:w="660"/>
        <w:gridCol w:w="2369"/>
        <w:gridCol w:w="640"/>
        <w:gridCol w:w="780"/>
        <w:gridCol w:w="3184"/>
        <w:gridCol w:w="1220"/>
        <w:gridCol w:w="9"/>
        <w:gridCol w:w="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8" w:type="dxa"/>
          <w:trHeight w:val="465" w:hRule="atLeast"/>
          <w:tblHeader/>
          <w:jc w:val="center"/>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序号</w:t>
            </w:r>
          </w:p>
        </w:tc>
        <w:tc>
          <w:tcPr>
            <w:tcW w:w="6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补偿项目</w:t>
            </w:r>
          </w:p>
        </w:tc>
        <w:tc>
          <w:tcPr>
            <w:tcW w:w="2369"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说明</w:t>
            </w:r>
          </w:p>
        </w:tc>
        <w:tc>
          <w:tcPr>
            <w:tcW w:w="6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备注</w:t>
            </w:r>
          </w:p>
        </w:tc>
        <w:tc>
          <w:tcPr>
            <w:tcW w:w="5193" w:type="dxa"/>
            <w:gridSpan w:val="4"/>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补偿标准（元/平方米）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2"/>
          <w:wAfter w:w="17" w:type="dxa"/>
          <w:trHeight w:val="600" w:hRule="atLeast"/>
          <w:tblHeader/>
          <w:jc w:val="center"/>
        </w:trPr>
        <w:tc>
          <w:tcPr>
            <w:tcW w:w="500" w:type="dxa"/>
            <w:vMerge w:val="continue"/>
            <w:vAlign w:val="center"/>
          </w:tcPr>
          <w:p>
            <w:pPr>
              <w:kinsoku/>
              <w:autoSpaceDE/>
              <w:autoSpaceDN/>
              <w:adjustRightInd/>
              <w:snapToGrid/>
              <w:textAlignment w:val="auto"/>
              <w:rPr>
                <w:rFonts w:hint="eastAsia" w:ascii="仿宋" w:hAnsi="仿宋" w:eastAsia="仿宋" w:cs="宋体"/>
                <w:sz w:val="24"/>
                <w:szCs w:val="24"/>
              </w:rPr>
            </w:pPr>
          </w:p>
        </w:tc>
        <w:tc>
          <w:tcPr>
            <w:tcW w:w="660" w:type="dxa"/>
            <w:vMerge w:val="continue"/>
            <w:vAlign w:val="center"/>
          </w:tcPr>
          <w:p>
            <w:pPr>
              <w:kinsoku/>
              <w:autoSpaceDE/>
              <w:autoSpaceDN/>
              <w:adjustRightInd/>
              <w:snapToGrid/>
              <w:textAlignment w:val="auto"/>
              <w:rPr>
                <w:rFonts w:hint="eastAsia" w:ascii="仿宋" w:hAnsi="仿宋" w:eastAsia="仿宋" w:cs="宋体"/>
                <w:sz w:val="24"/>
                <w:szCs w:val="24"/>
              </w:rPr>
            </w:pPr>
          </w:p>
        </w:tc>
        <w:tc>
          <w:tcPr>
            <w:tcW w:w="2369" w:type="dxa"/>
            <w:vMerge w:val="continue"/>
            <w:vAlign w:val="center"/>
          </w:tcPr>
          <w:p>
            <w:pPr>
              <w:kinsoku/>
              <w:autoSpaceDE/>
              <w:autoSpaceDN/>
              <w:adjustRightInd/>
              <w:snapToGrid/>
              <w:textAlignment w:val="auto"/>
              <w:rPr>
                <w:rFonts w:hint="eastAsia" w:ascii="仿宋" w:hAnsi="仿宋" w:eastAsia="仿宋" w:cs="宋体"/>
                <w:sz w:val="24"/>
                <w:szCs w:val="24"/>
              </w:rPr>
            </w:pPr>
          </w:p>
        </w:tc>
        <w:tc>
          <w:tcPr>
            <w:tcW w:w="640" w:type="dxa"/>
            <w:vMerge w:val="continue"/>
            <w:vAlign w:val="center"/>
          </w:tcPr>
          <w:p>
            <w:pPr>
              <w:kinsoku/>
              <w:autoSpaceDE/>
              <w:autoSpaceDN/>
              <w:adjustRightInd/>
              <w:snapToGrid/>
              <w:textAlignment w:val="auto"/>
              <w:rPr>
                <w:rFonts w:hint="eastAsia" w:ascii="仿宋" w:hAnsi="仿宋" w:eastAsia="仿宋" w:cs="宋体"/>
                <w:sz w:val="24"/>
                <w:szCs w:val="24"/>
              </w:rPr>
            </w:pPr>
          </w:p>
        </w:tc>
        <w:tc>
          <w:tcPr>
            <w:tcW w:w="78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房屋等级</w:t>
            </w:r>
          </w:p>
        </w:tc>
        <w:tc>
          <w:tcPr>
            <w:tcW w:w="3184"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等级说明</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价格区间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2"/>
          <w:wAfter w:w="17" w:type="dxa"/>
          <w:trHeight w:val="810" w:hRule="atLeast"/>
          <w:jc w:val="center"/>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1</w:t>
            </w:r>
          </w:p>
        </w:tc>
        <w:tc>
          <w:tcPr>
            <w:tcW w:w="6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框架结构</w:t>
            </w:r>
          </w:p>
        </w:tc>
        <w:tc>
          <w:tcPr>
            <w:tcW w:w="2369"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一般指以钢筋混凝土框架主体承重，240砖墙，现浇混凝土楼地面</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w:t>
            </w:r>
          </w:p>
        </w:tc>
        <w:tc>
          <w:tcPr>
            <w:tcW w:w="78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一等</w:t>
            </w:r>
          </w:p>
        </w:tc>
        <w:tc>
          <w:tcPr>
            <w:tcW w:w="3184"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红砖砌筑，1层层高≥3.8米，2层以上层高≥3.3米</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850～1050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2"/>
          <w:wAfter w:w="17" w:type="dxa"/>
          <w:trHeight w:val="810" w:hRule="atLeast"/>
          <w:jc w:val="center"/>
        </w:trPr>
        <w:tc>
          <w:tcPr>
            <w:tcW w:w="500" w:type="dxa"/>
            <w:vMerge w:val="continue"/>
            <w:vAlign w:val="center"/>
          </w:tcPr>
          <w:p>
            <w:pPr>
              <w:kinsoku/>
              <w:autoSpaceDE/>
              <w:autoSpaceDN/>
              <w:adjustRightInd/>
              <w:snapToGrid/>
              <w:textAlignment w:val="auto"/>
              <w:rPr>
                <w:rFonts w:hint="eastAsia" w:ascii="仿宋" w:hAnsi="仿宋" w:eastAsia="仿宋" w:cs="宋体"/>
                <w:sz w:val="24"/>
                <w:szCs w:val="24"/>
              </w:rPr>
            </w:pPr>
          </w:p>
        </w:tc>
        <w:tc>
          <w:tcPr>
            <w:tcW w:w="660" w:type="dxa"/>
            <w:vMerge w:val="continue"/>
            <w:vAlign w:val="center"/>
          </w:tcPr>
          <w:p>
            <w:pPr>
              <w:kinsoku/>
              <w:autoSpaceDE/>
              <w:autoSpaceDN/>
              <w:adjustRightInd/>
              <w:snapToGrid/>
              <w:textAlignment w:val="auto"/>
              <w:rPr>
                <w:rFonts w:hint="eastAsia" w:ascii="仿宋" w:hAnsi="仿宋" w:eastAsia="仿宋" w:cs="宋体"/>
                <w:sz w:val="24"/>
                <w:szCs w:val="24"/>
              </w:rPr>
            </w:pPr>
          </w:p>
        </w:tc>
        <w:tc>
          <w:tcPr>
            <w:tcW w:w="2369" w:type="dxa"/>
            <w:vMerge w:val="continue"/>
            <w:vAlign w:val="center"/>
          </w:tcPr>
          <w:p>
            <w:pPr>
              <w:kinsoku/>
              <w:autoSpaceDE/>
              <w:autoSpaceDN/>
              <w:adjustRightInd/>
              <w:snapToGrid/>
              <w:textAlignment w:val="auto"/>
              <w:rPr>
                <w:rFonts w:hint="eastAsia" w:ascii="仿宋" w:hAnsi="仿宋" w:eastAsia="仿宋" w:cs="宋体"/>
                <w:sz w:val="24"/>
                <w:szCs w:val="24"/>
              </w:rPr>
            </w:pP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w:t>
            </w:r>
          </w:p>
        </w:tc>
        <w:tc>
          <w:tcPr>
            <w:tcW w:w="78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二等</w:t>
            </w:r>
          </w:p>
        </w:tc>
        <w:tc>
          <w:tcPr>
            <w:tcW w:w="3184"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水泥砖砌筑，1层层高≥3.8米，2层以上层高≥3.3米</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800～1000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2"/>
          <w:wAfter w:w="17" w:type="dxa"/>
          <w:trHeight w:val="810" w:hRule="atLeast"/>
          <w:jc w:val="center"/>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2</w:t>
            </w:r>
          </w:p>
        </w:tc>
        <w:tc>
          <w:tcPr>
            <w:tcW w:w="6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砖混结构</w:t>
            </w:r>
          </w:p>
        </w:tc>
        <w:tc>
          <w:tcPr>
            <w:tcW w:w="2369"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一般指主要以砖墙承重（少量布置结构柱），240砖墙，现浇混凝土楼地面</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w:t>
            </w:r>
          </w:p>
        </w:tc>
        <w:tc>
          <w:tcPr>
            <w:tcW w:w="78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一等</w:t>
            </w:r>
          </w:p>
        </w:tc>
        <w:tc>
          <w:tcPr>
            <w:tcW w:w="3184"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红砖砌筑，1层层高≥3.5米，2层以上层高≥3.0米</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850～950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2"/>
          <w:wAfter w:w="17" w:type="dxa"/>
          <w:trHeight w:val="810" w:hRule="atLeast"/>
          <w:jc w:val="center"/>
        </w:trPr>
        <w:tc>
          <w:tcPr>
            <w:tcW w:w="500" w:type="dxa"/>
            <w:vMerge w:val="continue"/>
            <w:vAlign w:val="center"/>
          </w:tcPr>
          <w:p>
            <w:pPr>
              <w:kinsoku/>
              <w:autoSpaceDE/>
              <w:autoSpaceDN/>
              <w:adjustRightInd/>
              <w:snapToGrid/>
              <w:textAlignment w:val="auto"/>
              <w:rPr>
                <w:rFonts w:hint="eastAsia" w:ascii="仿宋" w:hAnsi="仿宋" w:eastAsia="仿宋" w:cs="宋体"/>
                <w:sz w:val="24"/>
                <w:szCs w:val="24"/>
              </w:rPr>
            </w:pPr>
          </w:p>
        </w:tc>
        <w:tc>
          <w:tcPr>
            <w:tcW w:w="660" w:type="dxa"/>
            <w:vMerge w:val="continue"/>
            <w:vAlign w:val="center"/>
          </w:tcPr>
          <w:p>
            <w:pPr>
              <w:kinsoku/>
              <w:autoSpaceDE/>
              <w:autoSpaceDN/>
              <w:adjustRightInd/>
              <w:snapToGrid/>
              <w:textAlignment w:val="auto"/>
              <w:rPr>
                <w:rFonts w:hint="eastAsia" w:ascii="仿宋" w:hAnsi="仿宋" w:eastAsia="仿宋" w:cs="宋体"/>
                <w:sz w:val="24"/>
                <w:szCs w:val="24"/>
              </w:rPr>
            </w:pPr>
          </w:p>
        </w:tc>
        <w:tc>
          <w:tcPr>
            <w:tcW w:w="2369" w:type="dxa"/>
            <w:vMerge w:val="continue"/>
            <w:vAlign w:val="center"/>
          </w:tcPr>
          <w:p>
            <w:pPr>
              <w:kinsoku/>
              <w:autoSpaceDE/>
              <w:autoSpaceDN/>
              <w:adjustRightInd/>
              <w:snapToGrid/>
              <w:textAlignment w:val="auto"/>
              <w:rPr>
                <w:rFonts w:hint="eastAsia" w:ascii="仿宋" w:hAnsi="仿宋" w:eastAsia="仿宋" w:cs="宋体"/>
                <w:sz w:val="24"/>
                <w:szCs w:val="24"/>
              </w:rPr>
            </w:pP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w:t>
            </w:r>
          </w:p>
        </w:tc>
        <w:tc>
          <w:tcPr>
            <w:tcW w:w="78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二等</w:t>
            </w:r>
          </w:p>
        </w:tc>
        <w:tc>
          <w:tcPr>
            <w:tcW w:w="3184"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水泥砖砌筑，1层层高≥3.5米，2层以上层高≥3.0米</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800～900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2"/>
          <w:wAfter w:w="17" w:type="dxa"/>
          <w:trHeight w:val="810" w:hRule="atLeast"/>
          <w:jc w:val="center"/>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3</w:t>
            </w:r>
          </w:p>
        </w:tc>
        <w:tc>
          <w:tcPr>
            <w:tcW w:w="6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砖木结构</w:t>
            </w:r>
          </w:p>
        </w:tc>
        <w:tc>
          <w:tcPr>
            <w:tcW w:w="2369"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一般以砖墙承重，180或240砖墙，屋面以木屋架、木檩条上盖机制瓦或小青瓦</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w:t>
            </w:r>
          </w:p>
        </w:tc>
        <w:tc>
          <w:tcPr>
            <w:tcW w:w="78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一等</w:t>
            </w:r>
          </w:p>
        </w:tc>
        <w:tc>
          <w:tcPr>
            <w:tcW w:w="3184"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红砖或青砖砌筑，主要砖墙及圆木柱承重，层高4.5米以上</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550～650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2"/>
          <w:wAfter w:w="17" w:type="dxa"/>
          <w:trHeight w:val="810" w:hRule="atLeast"/>
          <w:jc w:val="center"/>
        </w:trPr>
        <w:tc>
          <w:tcPr>
            <w:tcW w:w="500" w:type="dxa"/>
            <w:vMerge w:val="continue"/>
            <w:vAlign w:val="center"/>
          </w:tcPr>
          <w:p>
            <w:pPr>
              <w:kinsoku/>
              <w:autoSpaceDE/>
              <w:autoSpaceDN/>
              <w:adjustRightInd/>
              <w:snapToGrid/>
              <w:textAlignment w:val="auto"/>
              <w:rPr>
                <w:rFonts w:hint="eastAsia" w:ascii="仿宋" w:hAnsi="仿宋" w:eastAsia="仿宋" w:cs="宋体"/>
                <w:sz w:val="24"/>
                <w:szCs w:val="24"/>
              </w:rPr>
            </w:pPr>
          </w:p>
        </w:tc>
        <w:tc>
          <w:tcPr>
            <w:tcW w:w="660" w:type="dxa"/>
            <w:vMerge w:val="continue"/>
            <w:vAlign w:val="center"/>
          </w:tcPr>
          <w:p>
            <w:pPr>
              <w:kinsoku/>
              <w:autoSpaceDE/>
              <w:autoSpaceDN/>
              <w:adjustRightInd/>
              <w:snapToGrid/>
              <w:textAlignment w:val="auto"/>
              <w:rPr>
                <w:rFonts w:hint="eastAsia" w:ascii="仿宋" w:hAnsi="仿宋" w:eastAsia="仿宋" w:cs="宋体"/>
                <w:sz w:val="24"/>
                <w:szCs w:val="24"/>
              </w:rPr>
            </w:pPr>
          </w:p>
        </w:tc>
        <w:tc>
          <w:tcPr>
            <w:tcW w:w="2369" w:type="dxa"/>
            <w:vMerge w:val="continue"/>
            <w:vAlign w:val="center"/>
          </w:tcPr>
          <w:p>
            <w:pPr>
              <w:kinsoku/>
              <w:autoSpaceDE/>
              <w:autoSpaceDN/>
              <w:adjustRightInd/>
              <w:snapToGrid/>
              <w:textAlignment w:val="auto"/>
              <w:rPr>
                <w:rFonts w:hint="eastAsia" w:ascii="仿宋" w:hAnsi="仿宋" w:eastAsia="仿宋" w:cs="宋体"/>
                <w:sz w:val="24"/>
                <w:szCs w:val="24"/>
              </w:rPr>
            </w:pP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w:t>
            </w:r>
          </w:p>
        </w:tc>
        <w:tc>
          <w:tcPr>
            <w:tcW w:w="78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二等</w:t>
            </w:r>
          </w:p>
        </w:tc>
        <w:tc>
          <w:tcPr>
            <w:tcW w:w="3184"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红砖或水泥砖砌筑，主要为砖墙承重，层高3.5米以上</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450～550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2"/>
          <w:wAfter w:w="17" w:type="dxa"/>
          <w:trHeight w:val="1230" w:hRule="atLeast"/>
          <w:jc w:val="center"/>
        </w:trPr>
        <w:tc>
          <w:tcPr>
            <w:tcW w:w="500" w:type="dxa"/>
            <w:vMerge w:val="continue"/>
            <w:vAlign w:val="center"/>
          </w:tcPr>
          <w:p>
            <w:pPr>
              <w:kinsoku/>
              <w:autoSpaceDE/>
              <w:autoSpaceDN/>
              <w:adjustRightInd/>
              <w:snapToGrid/>
              <w:textAlignment w:val="auto"/>
              <w:rPr>
                <w:rFonts w:hint="eastAsia" w:ascii="仿宋" w:hAnsi="仿宋" w:eastAsia="仿宋" w:cs="宋体"/>
                <w:sz w:val="24"/>
                <w:szCs w:val="24"/>
              </w:rPr>
            </w:pPr>
          </w:p>
        </w:tc>
        <w:tc>
          <w:tcPr>
            <w:tcW w:w="660" w:type="dxa"/>
            <w:vMerge w:val="continue"/>
            <w:vAlign w:val="center"/>
          </w:tcPr>
          <w:p>
            <w:pPr>
              <w:kinsoku/>
              <w:autoSpaceDE/>
              <w:autoSpaceDN/>
              <w:adjustRightInd/>
              <w:snapToGrid/>
              <w:textAlignment w:val="auto"/>
              <w:rPr>
                <w:rFonts w:hint="eastAsia" w:ascii="仿宋" w:hAnsi="仿宋" w:eastAsia="仿宋" w:cs="宋体"/>
                <w:sz w:val="24"/>
                <w:szCs w:val="24"/>
              </w:rPr>
            </w:pPr>
          </w:p>
        </w:tc>
        <w:tc>
          <w:tcPr>
            <w:tcW w:w="2369"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一般以砖墙承重，120或180砖墙，屋面以木横条、木檩条上盖机制瓦或水泥瓦</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w:t>
            </w:r>
          </w:p>
        </w:tc>
        <w:tc>
          <w:tcPr>
            <w:tcW w:w="78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三等</w:t>
            </w:r>
          </w:p>
        </w:tc>
        <w:tc>
          <w:tcPr>
            <w:tcW w:w="3184"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红砖或水泥砖砌筑，主要为砖墙承重，层高2.2米以上</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350～450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2"/>
          <w:wAfter w:w="17" w:type="dxa"/>
          <w:trHeight w:val="810" w:hRule="atLeast"/>
          <w:jc w:val="center"/>
        </w:trPr>
        <w:tc>
          <w:tcPr>
            <w:tcW w:w="5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4"/>
                <w:szCs w:val="24"/>
              </w:rPr>
            </w:pPr>
            <w:r>
              <w:rPr>
                <w:rFonts w:hint="eastAsia" w:ascii="仿宋" w:hAnsi="仿宋" w:eastAsia="仿宋" w:cs="宋体"/>
                <w:color w:val="auto"/>
                <w:sz w:val="24"/>
                <w:szCs w:val="24"/>
              </w:rPr>
              <w:t>4</w:t>
            </w:r>
          </w:p>
        </w:tc>
        <w:tc>
          <w:tcPr>
            <w:tcW w:w="6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4"/>
                <w:szCs w:val="24"/>
              </w:rPr>
            </w:pPr>
            <w:r>
              <w:rPr>
                <w:rFonts w:hint="eastAsia" w:ascii="仿宋" w:hAnsi="仿宋" w:eastAsia="仿宋" w:cs="宋体"/>
                <w:color w:val="auto"/>
                <w:sz w:val="24"/>
                <w:szCs w:val="24"/>
              </w:rPr>
              <w:t>简易结构</w:t>
            </w:r>
          </w:p>
        </w:tc>
        <w:tc>
          <w:tcPr>
            <w:tcW w:w="2369"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color w:val="auto"/>
                <w:sz w:val="24"/>
                <w:szCs w:val="24"/>
              </w:rPr>
            </w:pPr>
            <w:r>
              <w:rPr>
                <w:rFonts w:hint="eastAsia" w:ascii="仿宋" w:hAnsi="仿宋" w:eastAsia="仿宋" w:cs="宋体"/>
                <w:color w:val="auto"/>
                <w:sz w:val="24"/>
                <w:szCs w:val="24"/>
              </w:rPr>
              <w:t>一般以砖墙承重，120或180砖墙，木檩条承重，小青瓦或机制瓦屋面</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4"/>
                <w:szCs w:val="24"/>
              </w:rPr>
            </w:pPr>
            <w:r>
              <w:rPr>
                <w:rFonts w:hint="eastAsia" w:ascii="仿宋" w:hAnsi="仿宋" w:eastAsia="仿宋" w:cs="宋体"/>
                <w:color w:val="auto"/>
                <w:sz w:val="24"/>
                <w:szCs w:val="24"/>
              </w:rPr>
              <w:t>/</w:t>
            </w:r>
          </w:p>
        </w:tc>
        <w:tc>
          <w:tcPr>
            <w:tcW w:w="7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4"/>
                <w:szCs w:val="24"/>
              </w:rPr>
            </w:pPr>
            <w:r>
              <w:rPr>
                <w:rFonts w:hint="eastAsia" w:ascii="仿宋" w:hAnsi="仿宋" w:eastAsia="仿宋" w:cs="宋体"/>
                <w:color w:val="auto"/>
                <w:sz w:val="24"/>
                <w:szCs w:val="24"/>
              </w:rPr>
              <w:t>一等</w:t>
            </w:r>
          </w:p>
        </w:tc>
        <w:tc>
          <w:tcPr>
            <w:tcW w:w="3184"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4"/>
                <w:szCs w:val="24"/>
              </w:rPr>
            </w:pPr>
            <w:r>
              <w:rPr>
                <w:rFonts w:hint="eastAsia" w:ascii="仿宋" w:hAnsi="仿宋" w:eastAsia="仿宋" w:cs="宋体"/>
                <w:color w:val="auto"/>
                <w:sz w:val="24"/>
                <w:szCs w:val="24"/>
              </w:rPr>
              <w:t>红砖或青砖砌筑，主要砖墙及圆木柱承重，层高2.2米以下</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4"/>
                <w:szCs w:val="24"/>
              </w:rPr>
            </w:pPr>
            <w:r>
              <w:rPr>
                <w:rFonts w:hint="eastAsia" w:ascii="仿宋" w:hAnsi="仿宋" w:eastAsia="仿宋" w:cs="宋体"/>
                <w:color w:val="auto"/>
                <w:sz w:val="24"/>
                <w:szCs w:val="24"/>
              </w:rPr>
              <w:t>250～300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2"/>
          <w:wAfter w:w="17" w:type="dxa"/>
          <w:trHeight w:val="810" w:hRule="atLeast"/>
          <w:jc w:val="center"/>
        </w:trPr>
        <w:tc>
          <w:tcPr>
            <w:tcW w:w="500" w:type="dxa"/>
            <w:vMerge w:val="continue"/>
            <w:vAlign w:val="center"/>
          </w:tcPr>
          <w:p>
            <w:pPr>
              <w:kinsoku/>
              <w:autoSpaceDE/>
              <w:autoSpaceDN/>
              <w:adjustRightInd/>
              <w:snapToGrid/>
              <w:textAlignment w:val="auto"/>
              <w:rPr>
                <w:rFonts w:hint="eastAsia" w:ascii="仿宋" w:hAnsi="仿宋" w:eastAsia="仿宋" w:cs="宋体"/>
                <w:color w:val="auto"/>
                <w:sz w:val="24"/>
                <w:szCs w:val="24"/>
              </w:rPr>
            </w:pPr>
          </w:p>
        </w:tc>
        <w:tc>
          <w:tcPr>
            <w:tcW w:w="660" w:type="dxa"/>
            <w:vMerge w:val="continue"/>
            <w:vAlign w:val="center"/>
          </w:tcPr>
          <w:p>
            <w:pPr>
              <w:kinsoku/>
              <w:autoSpaceDE/>
              <w:autoSpaceDN/>
              <w:adjustRightInd/>
              <w:snapToGrid/>
              <w:textAlignment w:val="auto"/>
              <w:rPr>
                <w:rFonts w:hint="eastAsia" w:ascii="仿宋" w:hAnsi="仿宋" w:eastAsia="仿宋" w:cs="宋体"/>
                <w:color w:val="auto"/>
                <w:sz w:val="24"/>
                <w:szCs w:val="24"/>
              </w:rPr>
            </w:pPr>
          </w:p>
        </w:tc>
        <w:tc>
          <w:tcPr>
            <w:tcW w:w="2369" w:type="dxa"/>
            <w:vMerge w:val="continue"/>
            <w:vAlign w:val="center"/>
          </w:tcPr>
          <w:p>
            <w:pPr>
              <w:kinsoku/>
              <w:autoSpaceDE/>
              <w:autoSpaceDN/>
              <w:adjustRightInd/>
              <w:snapToGrid/>
              <w:textAlignment w:val="auto"/>
              <w:rPr>
                <w:rFonts w:hint="eastAsia" w:ascii="仿宋" w:hAnsi="仿宋" w:eastAsia="仿宋" w:cs="宋体"/>
                <w:color w:val="auto"/>
                <w:sz w:val="24"/>
                <w:szCs w:val="24"/>
              </w:rPr>
            </w:pP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4"/>
                <w:szCs w:val="24"/>
              </w:rPr>
            </w:pPr>
            <w:r>
              <w:rPr>
                <w:rFonts w:hint="eastAsia" w:ascii="仿宋" w:hAnsi="仿宋" w:eastAsia="仿宋" w:cs="宋体"/>
                <w:color w:val="auto"/>
                <w:sz w:val="24"/>
                <w:szCs w:val="24"/>
              </w:rPr>
              <w:t>/</w:t>
            </w:r>
          </w:p>
        </w:tc>
        <w:tc>
          <w:tcPr>
            <w:tcW w:w="78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4"/>
                <w:szCs w:val="24"/>
              </w:rPr>
            </w:pPr>
            <w:r>
              <w:rPr>
                <w:rFonts w:hint="eastAsia" w:ascii="仿宋" w:hAnsi="仿宋" w:eastAsia="仿宋" w:cs="宋体"/>
                <w:color w:val="auto"/>
                <w:sz w:val="24"/>
                <w:szCs w:val="24"/>
              </w:rPr>
              <w:t>二等</w:t>
            </w:r>
          </w:p>
        </w:tc>
        <w:tc>
          <w:tcPr>
            <w:tcW w:w="3184"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4"/>
                <w:szCs w:val="24"/>
              </w:rPr>
            </w:pPr>
            <w:r>
              <w:rPr>
                <w:rFonts w:hint="eastAsia" w:ascii="仿宋" w:hAnsi="仿宋" w:eastAsia="仿宋" w:cs="宋体"/>
                <w:color w:val="auto"/>
                <w:sz w:val="24"/>
                <w:szCs w:val="24"/>
              </w:rPr>
              <w:t>红砖或水泥砖砌筑，主要为砖墙或砖柱承重，层高2.2米以下</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color w:val="auto"/>
                <w:sz w:val="24"/>
                <w:szCs w:val="24"/>
              </w:rPr>
            </w:pPr>
            <w:r>
              <w:rPr>
                <w:rFonts w:hint="eastAsia" w:ascii="仿宋" w:hAnsi="仿宋" w:eastAsia="仿宋" w:cs="宋体"/>
                <w:color w:val="auto"/>
                <w:sz w:val="24"/>
                <w:szCs w:val="24"/>
              </w:rPr>
              <w:t>150～250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720" w:hRule="atLeast"/>
          <w:jc w:val="center"/>
        </w:trPr>
        <w:tc>
          <w:tcPr>
            <w:tcW w:w="500" w:type="dxa"/>
            <w:shd w:val="clear" w:color="auto" w:fill="auto"/>
            <w:vAlign w:val="center"/>
          </w:tcPr>
          <w:p>
            <w:pPr>
              <w:kinsoku/>
              <w:autoSpaceDE/>
              <w:autoSpaceDN/>
              <w:adjustRightInd/>
              <w:snapToGrid/>
              <w:jc w:val="center"/>
              <w:textAlignment w:val="auto"/>
              <w:rPr>
                <w:rFonts w:hint="eastAsia" w:ascii="仿宋" w:hAnsi="仿宋" w:eastAsia="仿宋" w:cs="宋体"/>
                <w:sz w:val="24"/>
                <w:szCs w:val="24"/>
              </w:rPr>
            </w:pPr>
            <w:r>
              <w:rPr>
                <w:rFonts w:hint="eastAsia" w:ascii="仿宋" w:hAnsi="仿宋" w:eastAsia="仿宋" w:cs="宋体"/>
                <w:sz w:val="24"/>
                <w:szCs w:val="24"/>
              </w:rPr>
              <w:t xml:space="preserve">备注                                     </w:t>
            </w:r>
          </w:p>
        </w:tc>
        <w:tc>
          <w:tcPr>
            <w:tcW w:w="8870" w:type="dxa"/>
            <w:gridSpan w:val="8"/>
            <w:shd w:val="clear" w:color="auto" w:fill="auto"/>
            <w:vAlign w:val="center"/>
          </w:tcPr>
          <w:p>
            <w:pPr>
              <w:kinsoku/>
              <w:autoSpaceDE/>
              <w:autoSpaceDN/>
              <w:adjustRightInd/>
              <w:snapToGrid/>
              <w:textAlignment w:val="auto"/>
              <w:rPr>
                <w:rFonts w:hint="eastAsia" w:ascii="仿宋" w:hAnsi="仿宋" w:eastAsia="仿宋" w:cs="宋体"/>
                <w:sz w:val="24"/>
                <w:szCs w:val="24"/>
              </w:rPr>
            </w:pPr>
            <w:r>
              <w:rPr>
                <w:rFonts w:hint="eastAsia" w:ascii="仿宋" w:hAnsi="仿宋" w:eastAsia="仿宋" w:cs="宋体"/>
                <w:sz w:val="24"/>
                <w:szCs w:val="24"/>
              </w:rPr>
              <w:t xml:space="preserve">上述补偿标准已包含基础的水电安装（无线盒），完成内墙面抹灰、地面找平处理，具备排水、排污设施基本条件和普通木门窗，已具备基本的居住条件。  </w:t>
            </w:r>
          </w:p>
        </w:tc>
      </w:tr>
    </w:tbl>
    <w:p>
      <w:pPr>
        <w:pStyle w:val="2"/>
        <w:spacing w:line="500" w:lineRule="exact"/>
        <w:jc w:val="both"/>
        <w:rPr>
          <w:rFonts w:hint="eastAsia" w:cs="仿宋_GB2312"/>
          <w:spacing w:val="-1"/>
          <w:sz w:val="28"/>
          <w:szCs w:val="28"/>
          <w:lang w:eastAsia="zh-CN"/>
        </w:rPr>
      </w:pPr>
      <w:r>
        <w:rPr>
          <w:rFonts w:hint="eastAsia" w:cs="仿宋_GB2312"/>
          <w:spacing w:val="-1"/>
          <w:sz w:val="28"/>
          <w:szCs w:val="28"/>
          <w:lang w:eastAsia="zh-CN"/>
        </w:rPr>
        <w:t>补充说明：</w:t>
      </w:r>
    </w:p>
    <w:p>
      <w:pPr>
        <w:pStyle w:val="2"/>
        <w:spacing w:line="500" w:lineRule="exact"/>
        <w:ind w:firstLine="556" w:firstLineChars="200"/>
        <w:jc w:val="both"/>
        <w:rPr>
          <w:rFonts w:hint="eastAsia" w:cs="仿宋_GB2312"/>
          <w:sz w:val="28"/>
          <w:szCs w:val="28"/>
          <w:lang w:eastAsia="zh-CN"/>
        </w:rPr>
      </w:pPr>
      <w:r>
        <w:rPr>
          <w:rFonts w:hint="eastAsia" w:cs="仿宋_GB2312"/>
          <w:spacing w:val="-1"/>
          <w:sz w:val="28"/>
          <w:szCs w:val="28"/>
          <w:lang w:eastAsia="zh-CN"/>
        </w:rPr>
        <w:t>1.根据《建筑工程建筑面积计算规范》(GB/</w:t>
      </w:r>
      <w:r>
        <w:rPr>
          <w:rFonts w:hint="eastAsia" w:cs="仿宋_GB2312"/>
          <w:spacing w:val="-2"/>
          <w:sz w:val="28"/>
          <w:szCs w:val="28"/>
          <w:lang w:eastAsia="zh-CN"/>
        </w:rPr>
        <w:t>T50353-2013)进行有关建筑面积的计算：</w:t>
      </w:r>
      <w:r>
        <w:rPr>
          <w:rFonts w:hint="eastAsia" w:cs="仿宋_GB2312"/>
          <w:sz w:val="28"/>
          <w:szCs w:val="28"/>
          <w:lang w:eastAsia="zh-CN"/>
        </w:rPr>
        <w:t xml:space="preserve"> 外墙边与外墙边丈量的距离相乘为建筑面积，外阳台及</w:t>
      </w:r>
      <w:r>
        <w:rPr>
          <w:rFonts w:hint="eastAsia" w:cs="仿宋_GB2312"/>
          <w:spacing w:val="-1"/>
          <w:sz w:val="28"/>
          <w:szCs w:val="28"/>
          <w:lang w:eastAsia="zh-CN"/>
        </w:rPr>
        <w:t>外楼梯计二分之一建筑面积。框架、砖混</w:t>
      </w:r>
      <w:r>
        <w:rPr>
          <w:rFonts w:hint="eastAsia" w:cs="仿宋_GB2312"/>
          <w:spacing w:val="5"/>
          <w:sz w:val="28"/>
          <w:szCs w:val="28"/>
          <w:lang w:eastAsia="zh-CN"/>
        </w:rPr>
        <w:t>结构的边雨蓬及砖木结构四周瓦檐(飘檐)其补偿费用包含在每平方米补偿价内，不另计</w:t>
      </w:r>
      <w:r>
        <w:rPr>
          <w:rFonts w:hint="eastAsia" w:cs="仿宋_GB2312"/>
          <w:spacing w:val="4"/>
          <w:sz w:val="28"/>
          <w:szCs w:val="28"/>
          <w:lang w:eastAsia="zh-CN"/>
        </w:rPr>
        <w:t>算建筑</w:t>
      </w:r>
      <w:r>
        <w:rPr>
          <w:rFonts w:hint="eastAsia" w:cs="仿宋_GB2312"/>
          <w:sz w:val="28"/>
          <w:szCs w:val="28"/>
          <w:lang w:eastAsia="zh-CN"/>
        </w:rPr>
        <w:t>面积。</w:t>
      </w:r>
    </w:p>
    <w:p>
      <w:pPr>
        <w:pStyle w:val="2"/>
        <w:spacing w:line="500" w:lineRule="exact"/>
        <w:ind w:firstLine="560" w:firstLineChars="200"/>
        <w:jc w:val="both"/>
        <w:rPr>
          <w:rFonts w:hint="eastAsia" w:cs="仿宋_GB2312"/>
          <w:spacing w:val="-1"/>
          <w:sz w:val="28"/>
          <w:szCs w:val="28"/>
          <w:lang w:eastAsia="zh-CN"/>
        </w:rPr>
      </w:pPr>
      <w:r>
        <w:rPr>
          <w:rFonts w:hint="eastAsia" w:cs="仿宋_GB2312"/>
          <w:sz w:val="28"/>
          <w:szCs w:val="28"/>
          <w:lang w:eastAsia="zh-CN"/>
        </w:rPr>
        <w:t>2.人畜混居的楼房，养殖的一层则以养殖用房补</w:t>
      </w:r>
      <w:r>
        <w:rPr>
          <w:rFonts w:hint="eastAsia" w:cs="仿宋_GB2312"/>
          <w:spacing w:val="-1"/>
          <w:sz w:val="28"/>
          <w:szCs w:val="28"/>
          <w:lang w:eastAsia="zh-CN"/>
        </w:rPr>
        <w:t>偿。</w:t>
      </w:r>
    </w:p>
    <w:p>
      <w:pPr>
        <w:pStyle w:val="2"/>
        <w:spacing w:line="560" w:lineRule="exact"/>
        <w:jc w:val="both"/>
        <w:rPr>
          <w:rFonts w:cs="仿宋_GB2312"/>
          <w:b/>
          <w:bCs/>
          <w:spacing w:val="-3"/>
          <w:sz w:val="32"/>
          <w:szCs w:val="32"/>
          <w:lang w:eastAsia="zh-CN"/>
        </w:rPr>
      </w:pPr>
      <w:r>
        <w:rPr>
          <w:rFonts w:hint="eastAsia" w:cs="仿宋_GB2312"/>
          <w:b/>
          <w:bCs/>
          <w:spacing w:val="-3"/>
          <w:sz w:val="32"/>
          <w:szCs w:val="32"/>
          <w:lang w:eastAsia="zh-CN"/>
        </w:rPr>
        <w:t>三、住宅房屋装饰装修类补偿标准</w:t>
      </w:r>
    </w:p>
    <w:p>
      <w:pPr>
        <w:pStyle w:val="2"/>
        <w:spacing w:line="560" w:lineRule="exact"/>
        <w:jc w:val="center"/>
        <w:rPr>
          <w:rFonts w:hint="eastAsia" w:cs="仿宋_GB2312"/>
          <w:b/>
          <w:bCs/>
          <w:spacing w:val="-3"/>
          <w:sz w:val="32"/>
          <w:szCs w:val="32"/>
          <w:lang w:eastAsia="zh-CN"/>
        </w:rPr>
      </w:pPr>
      <w:r>
        <w:rPr>
          <w:rFonts w:hint="eastAsia" w:cs="宋体"/>
          <w:b/>
          <w:bCs/>
          <w:sz w:val="24"/>
          <w:szCs w:val="24"/>
          <w:lang w:eastAsia="zh-CN"/>
        </w:rPr>
        <w:t>表7     房屋装饰装修补偿标准表</w:t>
      </w:r>
    </w:p>
    <w:tbl>
      <w:tblPr>
        <w:tblStyle w:val="5"/>
        <w:tblpPr w:leftFromText="180" w:rightFromText="180" w:vertAnchor="text" w:tblpX="113" w:tblpY="1"/>
        <w:tblOverlap w:val="never"/>
        <w:tblW w:w="963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57" w:type="dxa"/>
          <w:bottom w:w="0" w:type="dxa"/>
          <w:right w:w="57" w:type="dxa"/>
        </w:tblCellMar>
      </w:tblPr>
      <w:tblGrid>
        <w:gridCol w:w="540"/>
        <w:gridCol w:w="660"/>
        <w:gridCol w:w="2420"/>
        <w:gridCol w:w="1420"/>
        <w:gridCol w:w="899"/>
        <w:gridCol w:w="567"/>
        <w:gridCol w:w="540"/>
        <w:gridCol w:w="860"/>
        <w:gridCol w:w="860"/>
        <w:gridCol w:w="860"/>
        <w:gridCol w:w="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40" w:hRule="exact"/>
          <w:tblHeader/>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序号</w:t>
            </w:r>
          </w:p>
        </w:tc>
        <w:tc>
          <w:tcPr>
            <w:tcW w:w="3080" w:type="dxa"/>
            <w:gridSpan w:val="2"/>
            <w:vMerge w:val="restart"/>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补偿项目</w:t>
            </w:r>
          </w:p>
        </w:tc>
        <w:tc>
          <w:tcPr>
            <w:tcW w:w="14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规格</w:t>
            </w:r>
          </w:p>
        </w:tc>
        <w:tc>
          <w:tcPr>
            <w:tcW w:w="899"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说明</w:t>
            </w:r>
          </w:p>
        </w:tc>
        <w:tc>
          <w:tcPr>
            <w:tcW w:w="567"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单位</w:t>
            </w:r>
          </w:p>
        </w:tc>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备注</w:t>
            </w:r>
          </w:p>
        </w:tc>
        <w:tc>
          <w:tcPr>
            <w:tcW w:w="2580" w:type="dxa"/>
            <w:gridSpan w:val="3"/>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补偿标准（元）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40" w:hRule="exact"/>
          <w:tblHeader/>
        </w:trPr>
        <w:tc>
          <w:tcPr>
            <w:tcW w:w="540" w:type="dxa"/>
            <w:vMerge w:val="continue"/>
            <w:vAlign w:val="center"/>
          </w:tcPr>
          <w:p>
            <w:pPr>
              <w:kinsoku/>
              <w:autoSpaceDE/>
              <w:autoSpaceDN/>
              <w:adjustRightInd/>
              <w:snapToGrid/>
              <w:textAlignment w:val="auto"/>
              <w:rPr>
                <w:rFonts w:hint="eastAsia" w:ascii="仿宋" w:hAnsi="仿宋" w:eastAsia="仿宋" w:cs="宋体"/>
                <w:b/>
                <w:bCs/>
                <w:sz w:val="22"/>
                <w:szCs w:val="22"/>
              </w:rPr>
            </w:pPr>
          </w:p>
        </w:tc>
        <w:tc>
          <w:tcPr>
            <w:tcW w:w="3080" w:type="dxa"/>
            <w:gridSpan w:val="2"/>
            <w:vMerge w:val="continue"/>
            <w:vAlign w:val="center"/>
          </w:tcPr>
          <w:p>
            <w:pPr>
              <w:kinsoku/>
              <w:autoSpaceDE/>
              <w:autoSpaceDN/>
              <w:adjustRightInd/>
              <w:snapToGrid/>
              <w:textAlignment w:val="auto"/>
              <w:rPr>
                <w:rFonts w:hint="eastAsia" w:ascii="仿宋" w:hAnsi="仿宋" w:eastAsia="仿宋" w:cs="宋体"/>
                <w:b/>
                <w:bCs/>
                <w:sz w:val="22"/>
                <w:szCs w:val="22"/>
              </w:rPr>
            </w:pPr>
          </w:p>
        </w:tc>
        <w:tc>
          <w:tcPr>
            <w:tcW w:w="1420" w:type="dxa"/>
            <w:vMerge w:val="continue"/>
            <w:vAlign w:val="center"/>
          </w:tcPr>
          <w:p>
            <w:pPr>
              <w:kinsoku/>
              <w:autoSpaceDE/>
              <w:autoSpaceDN/>
              <w:adjustRightInd/>
              <w:snapToGrid/>
              <w:textAlignment w:val="auto"/>
              <w:rPr>
                <w:rFonts w:hint="eastAsia" w:ascii="仿宋" w:hAnsi="仿宋" w:eastAsia="仿宋" w:cs="宋体"/>
                <w:b/>
                <w:bCs/>
                <w:sz w:val="22"/>
                <w:szCs w:val="22"/>
              </w:rPr>
            </w:pPr>
          </w:p>
        </w:tc>
        <w:tc>
          <w:tcPr>
            <w:tcW w:w="899" w:type="dxa"/>
            <w:vMerge w:val="continue"/>
            <w:vAlign w:val="center"/>
          </w:tcPr>
          <w:p>
            <w:pPr>
              <w:kinsoku/>
              <w:autoSpaceDE/>
              <w:autoSpaceDN/>
              <w:adjustRightInd/>
              <w:snapToGrid/>
              <w:textAlignment w:val="auto"/>
              <w:rPr>
                <w:rFonts w:hint="eastAsia" w:ascii="仿宋" w:hAnsi="仿宋" w:eastAsia="仿宋" w:cs="宋体"/>
                <w:b/>
                <w:bCs/>
                <w:sz w:val="22"/>
                <w:szCs w:val="22"/>
              </w:rPr>
            </w:pPr>
          </w:p>
        </w:tc>
        <w:tc>
          <w:tcPr>
            <w:tcW w:w="567" w:type="dxa"/>
            <w:vMerge w:val="continue"/>
            <w:vAlign w:val="center"/>
          </w:tcPr>
          <w:p>
            <w:pPr>
              <w:kinsoku/>
              <w:autoSpaceDE/>
              <w:autoSpaceDN/>
              <w:adjustRightInd/>
              <w:snapToGrid/>
              <w:textAlignment w:val="auto"/>
              <w:rPr>
                <w:rFonts w:hint="eastAsia" w:ascii="仿宋" w:hAnsi="仿宋" w:eastAsia="仿宋" w:cs="宋体"/>
                <w:b/>
                <w:bCs/>
                <w:sz w:val="22"/>
                <w:szCs w:val="22"/>
              </w:rPr>
            </w:pPr>
          </w:p>
        </w:tc>
        <w:tc>
          <w:tcPr>
            <w:tcW w:w="540" w:type="dxa"/>
            <w:vMerge w:val="continue"/>
            <w:vAlign w:val="center"/>
          </w:tcPr>
          <w:p>
            <w:pPr>
              <w:kinsoku/>
              <w:autoSpaceDE/>
              <w:autoSpaceDN/>
              <w:adjustRightInd/>
              <w:snapToGrid/>
              <w:textAlignment w:val="auto"/>
              <w:rPr>
                <w:rFonts w:hint="eastAsia" w:ascii="仿宋" w:hAnsi="仿宋" w:eastAsia="仿宋" w:cs="宋体"/>
                <w:b/>
                <w:bCs/>
                <w:sz w:val="22"/>
                <w:szCs w:val="22"/>
              </w:rPr>
            </w:pP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普通</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中档</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b/>
                <w:bCs/>
                <w:sz w:val="22"/>
                <w:szCs w:val="22"/>
              </w:rPr>
            </w:pPr>
            <w:r>
              <w:rPr>
                <w:rFonts w:hint="eastAsia" w:ascii="仿宋" w:hAnsi="仿宋" w:eastAsia="仿宋" w:cs="宋体"/>
                <w:b/>
                <w:bCs/>
                <w:sz w:val="22"/>
                <w:szCs w:val="22"/>
              </w:rPr>
              <w:t>高档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w:t>
            </w:r>
          </w:p>
        </w:tc>
        <w:tc>
          <w:tcPr>
            <w:tcW w:w="6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外墙</w:t>
            </w: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真(仿)石漆/金刚砂</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含批灰</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方格/条形砖/花砖</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涂料</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腻子</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批灰/水泥釉</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xml:space="preserve">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w:t>
            </w:r>
          </w:p>
        </w:tc>
        <w:tc>
          <w:tcPr>
            <w:tcW w:w="6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内墙</w:t>
            </w: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腻子</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乳胶漆/涂料</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18</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墙纸/墙布</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墙面瓷砖</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方格/镶嵌</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20cm*30cm</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25cm*40cm</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30cm*60cm</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40cm*80cm</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110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大理石墙面</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背景墙</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石膏造型</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木饰造型</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瓷砖/大理石</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w:t>
            </w:r>
          </w:p>
        </w:tc>
        <w:tc>
          <w:tcPr>
            <w:tcW w:w="6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地面</w:t>
            </w: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水磨石</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瓷砖地面</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马赛克</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30cm*30cm</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釉面砖</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30cm*30cm</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防滑砖</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50cm*50cm</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60cm*60cm</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80cm*80cm</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110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60cm*120cm</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110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130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75cm*150cm</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复合木地板</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实木地板</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230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踢脚线</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瓷砖</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28</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铝合金</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复合/仿木</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18</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实木</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38</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40" w:hRule="exac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w:t>
            </w:r>
          </w:p>
        </w:tc>
        <w:tc>
          <w:tcPr>
            <w:tcW w:w="6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天面</w:t>
            </w: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木饰造型吊顶</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40"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石膏板/埃特板吊顶</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110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40"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铝扣板吊顶</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110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40"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PVC(塑)扣板吊顶</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40"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石膏造型吊顶</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40"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石膏顶角线</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40"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木饰顶角线</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40"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不锈钢角/边线</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22</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w:t>
            </w:r>
          </w:p>
        </w:tc>
        <w:tc>
          <w:tcPr>
            <w:tcW w:w="6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门</w:t>
            </w: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铝合金/不锈钢大门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双层加厚</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折叠铁门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入户</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折叠/铁框木门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入户</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钢木大门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铝合金卷闸门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铝合金/不锈钢拉闸门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110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135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170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室内钢木门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扇</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木包门(含门套)</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扇</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实木门(含门套)</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扇</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铝合金/不锈钢推拉门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厨/卫铝合金玻璃门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扇</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厨/卫塑钢玻璃门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扇</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卫生间塑钢门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扇</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卫生间胶合板门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扇</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室内铁门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焊接镀锌管门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焊接铁枝门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铁艺造型院门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不锈钢造型院门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无框玻璃地弹门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160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铝合金/木框纱门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装饰门/窗套</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w:t>
            </w:r>
          </w:p>
        </w:tc>
        <w:tc>
          <w:tcPr>
            <w:tcW w:w="6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窗/防盗网</w:t>
            </w: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铝合金窗</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含纱窗</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shd w:val="clear" w:color="auto" w:fill="auto"/>
            <w:vAlign w:val="center"/>
          </w:tcPr>
          <w:p>
            <w:pPr>
              <w:jc w:val="center"/>
              <w:rPr>
                <w:rFonts w:hint="eastAsia" w:ascii="仿宋" w:hAnsi="仿宋" w:eastAsia="仿宋" w:cs="宋体"/>
                <w:sz w:val="22"/>
                <w:szCs w:val="22"/>
              </w:rPr>
            </w:pPr>
          </w:p>
        </w:tc>
        <w:tc>
          <w:tcPr>
            <w:tcW w:w="660" w:type="dxa"/>
            <w:vMerge w:val="continue"/>
            <w:shd w:val="clear" w:color="auto" w:fill="auto"/>
            <w:vAlign w:val="center"/>
          </w:tcPr>
          <w:p>
            <w:pPr>
              <w:jc w:val="center"/>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塑钢窗</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含纱窗</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160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195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shd w:val="clear" w:color="auto" w:fill="auto"/>
            <w:vAlign w:val="center"/>
          </w:tcPr>
          <w:p>
            <w:pPr>
              <w:jc w:val="center"/>
              <w:rPr>
                <w:rFonts w:hint="eastAsia" w:ascii="仿宋" w:hAnsi="仿宋" w:eastAsia="仿宋" w:cs="宋体"/>
                <w:sz w:val="22"/>
                <w:szCs w:val="22"/>
              </w:rPr>
            </w:pPr>
          </w:p>
        </w:tc>
        <w:tc>
          <w:tcPr>
            <w:tcW w:w="660" w:type="dxa"/>
            <w:vMerge w:val="continue"/>
            <w:shd w:val="clear" w:color="auto" w:fill="auto"/>
            <w:vAlign w:val="center"/>
          </w:tcPr>
          <w:p>
            <w:pPr>
              <w:jc w:val="center"/>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铝合金中空玻璃窗</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shd w:val="clear" w:color="auto" w:fill="auto"/>
            <w:vAlign w:val="center"/>
          </w:tcPr>
          <w:p>
            <w:pPr>
              <w:jc w:val="center"/>
              <w:rPr>
                <w:rFonts w:hint="eastAsia" w:ascii="仿宋" w:hAnsi="仿宋" w:eastAsia="仿宋" w:cs="宋体"/>
                <w:sz w:val="22"/>
                <w:szCs w:val="22"/>
              </w:rPr>
            </w:pPr>
          </w:p>
        </w:tc>
        <w:tc>
          <w:tcPr>
            <w:tcW w:w="660" w:type="dxa"/>
            <w:vMerge w:val="continue"/>
            <w:shd w:val="clear" w:color="auto" w:fill="auto"/>
            <w:vAlign w:val="center"/>
          </w:tcPr>
          <w:p>
            <w:pPr>
              <w:jc w:val="center"/>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铁枝防盗网</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p>
        </w:tc>
        <w:tc>
          <w:tcPr>
            <w:tcW w:w="660" w:type="dxa"/>
            <w:vMerge w:val="continue"/>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铝合金防盗网</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高档带造型</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115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不锈钢防盗网</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高档带造型</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135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木制窗帘盒</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轨道/拉杆窗帘</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单层</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69"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shd w:val="clear" w:color="auto" w:fill="auto"/>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轨道/拉杆窗帘</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双层</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w:t>
            </w:r>
          </w:p>
        </w:tc>
        <w:tc>
          <w:tcPr>
            <w:tcW w:w="6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隔断</w:t>
            </w: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铝合金玻璃隔断</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不锈钢玻璃隔断</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木制隔断</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w:t>
            </w:r>
          </w:p>
        </w:tc>
        <w:tc>
          <w:tcPr>
            <w:tcW w:w="6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柜体</w:t>
            </w: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嵌入式鞋柜/书柜</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嵌入式衣柜</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铝合金玻璃柜</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230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w:t>
            </w:r>
          </w:p>
        </w:tc>
        <w:tc>
          <w:tcPr>
            <w:tcW w:w="6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厨房</w:t>
            </w: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砖砌瓷砖橱柜</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贴瓷砖</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砖砌水泥案板</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贴瓷砖</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大理石橱柜</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亚克力门板</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石英石橱柜</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木制吊柜</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砖砌灶台</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视大小</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个</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不锈钢洗菜盆</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单盆</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个</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不锈钢洗菜盆</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双盆</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个</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冷热两用水龙头</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个</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w:t>
            </w:r>
          </w:p>
        </w:tc>
        <w:tc>
          <w:tcPr>
            <w:tcW w:w="6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卫生间</w:t>
            </w: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浴室柜</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含镜边柜</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组</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大理石/岩板洗手台</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陶瓷立柱洗手盆</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个</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固定墙镜</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陶瓷便盆</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水箱加50元</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只</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坐便器</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马桶</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只</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不锈钢花洒</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冷热</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副</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不锈钢/钛合金毛巾架</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副</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不锈钢置物架</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个</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11</w:t>
            </w:r>
          </w:p>
        </w:tc>
        <w:tc>
          <w:tcPr>
            <w:tcW w:w="6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其他</w:t>
            </w: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嵌入式吸顶灯</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厨卫</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视大小</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盏</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圆形/方形吸顶灯</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30cm*30cm</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盏</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40cm*60cm</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盏</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180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60cm*80cm</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盏</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太阳能照明灯</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视瓦数</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盏</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不锈钢扶手/栏杆</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含立柱</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130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165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gridAfter w:val="1"/>
          <w:wAfter w:w="10" w:type="dxa"/>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铁扶手/栏杆</w:t>
            </w:r>
          </w:p>
        </w:tc>
        <w:tc>
          <w:tcPr>
            <w:tcW w:w="14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899"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55</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70</w:t>
            </w:r>
          </w:p>
        </w:tc>
        <w:tc>
          <w:tcPr>
            <w:tcW w:w="8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75" w:hRule="atLeast"/>
        </w:trPr>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xml:space="preserve">备注                                  </w:t>
            </w:r>
          </w:p>
        </w:tc>
        <w:tc>
          <w:tcPr>
            <w:tcW w:w="9096" w:type="dxa"/>
            <w:gridSpan w:val="10"/>
            <w:shd w:val="clear" w:color="auto" w:fill="auto"/>
            <w:vAlign w:val="center"/>
          </w:tcPr>
          <w:p>
            <w:pPr>
              <w:kinsoku/>
              <w:autoSpaceDE/>
              <w:autoSpaceDN/>
              <w:adjustRightInd/>
              <w:snapToGrid/>
              <w:textAlignment w:val="auto"/>
              <w:rPr>
                <w:rFonts w:hint="eastAsia" w:ascii="仿宋" w:hAnsi="仿宋" w:eastAsia="仿宋" w:cs="宋体"/>
                <w:sz w:val="22"/>
                <w:szCs w:val="22"/>
              </w:rPr>
            </w:pPr>
            <w:r>
              <w:rPr>
                <w:rFonts w:hint="eastAsia" w:ascii="仿宋" w:hAnsi="仿宋" w:eastAsia="仿宋" w:cs="宋体"/>
                <w:sz w:val="22"/>
                <w:szCs w:val="22"/>
              </w:rPr>
              <w:t xml:space="preserve">1.上述标准为全新状况下的项目单价，实际补偿时，应根据使用情况予以成新修正，                                               2.上述标准未涵盖的项目，可参照相近或相似标准进行补偿或另行委托评估确定。     </w:t>
            </w:r>
          </w:p>
        </w:tc>
      </w:tr>
    </w:tbl>
    <w:p>
      <w:pPr>
        <w:spacing w:before="120" w:line="560" w:lineRule="exact"/>
        <w:outlineLvl w:val="0"/>
        <w:rPr>
          <w:rFonts w:ascii="仿宋" w:hAnsi="仿宋" w:eastAsia="仿宋" w:cs="仿宋_GB2312"/>
          <w:b/>
          <w:bCs/>
          <w:spacing w:val="-3"/>
          <w:sz w:val="32"/>
          <w:szCs w:val="32"/>
        </w:rPr>
      </w:pPr>
      <w:r>
        <w:rPr>
          <w:rFonts w:hint="eastAsia" w:ascii="仿宋" w:hAnsi="仿宋" w:eastAsia="仿宋" w:cs="仿宋_GB2312"/>
          <w:b/>
          <w:bCs/>
          <w:spacing w:val="-3"/>
          <w:sz w:val="32"/>
          <w:szCs w:val="32"/>
        </w:rPr>
        <w:t>四、</w:t>
      </w:r>
      <w:bookmarkStart w:id="0" w:name="OLE_LINK1"/>
      <w:r>
        <w:rPr>
          <w:rFonts w:hint="eastAsia" w:ascii="仿宋" w:hAnsi="仿宋" w:eastAsia="仿宋" w:cs="仿宋_GB2312"/>
          <w:b/>
          <w:bCs/>
          <w:spacing w:val="-3"/>
          <w:sz w:val="32"/>
          <w:szCs w:val="32"/>
        </w:rPr>
        <w:t>集体土地上非住宅房屋拆迁补助标准</w:t>
      </w:r>
      <w:bookmarkEnd w:id="0"/>
    </w:p>
    <w:p>
      <w:pPr>
        <w:spacing w:line="500" w:lineRule="exact"/>
        <w:jc w:val="center"/>
        <w:rPr>
          <w:rFonts w:hint="eastAsia" w:ascii="仿宋" w:hAnsi="仿宋" w:eastAsia="仿宋" w:cs="黑体"/>
          <w:b/>
          <w:bCs/>
          <w:color w:val="000000" w:themeColor="text1"/>
          <w:sz w:val="28"/>
          <w:szCs w:val="28"/>
          <w14:textFill>
            <w14:solidFill>
              <w14:schemeClr w14:val="tx1"/>
            </w14:solidFill>
          </w14:textFill>
        </w:rPr>
      </w:pPr>
      <w:r>
        <w:rPr>
          <w:rFonts w:hint="eastAsia" w:ascii="仿宋" w:hAnsi="仿宋" w:eastAsia="仿宋" w:cs="宋体"/>
          <w:b/>
          <w:bCs/>
          <w:sz w:val="24"/>
          <w:szCs w:val="24"/>
        </w:rPr>
        <w:t>表8   集体土地上非住宅房屋拆迁补偿标准表</w:t>
      </w:r>
    </w:p>
    <w:tbl>
      <w:tblPr>
        <w:tblStyle w:val="5"/>
        <w:tblW w:w="9420" w:type="dxa"/>
        <w:tblInd w:w="11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57" w:type="dxa"/>
          <w:bottom w:w="0" w:type="dxa"/>
          <w:right w:w="57" w:type="dxa"/>
        </w:tblCellMar>
      </w:tblPr>
      <w:tblGrid>
        <w:gridCol w:w="540"/>
        <w:gridCol w:w="660"/>
        <w:gridCol w:w="1140"/>
        <w:gridCol w:w="1120"/>
        <w:gridCol w:w="3400"/>
        <w:gridCol w:w="640"/>
        <w:gridCol w:w="700"/>
        <w:gridCol w:w="12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30" w:hRule="atLeast"/>
        </w:trPr>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bookmarkStart w:id="1" w:name="_Hlk200962098"/>
            <w:r>
              <w:rPr>
                <w:rFonts w:hint="eastAsia" w:ascii="仿宋" w:hAnsi="仿宋" w:eastAsia="仿宋" w:cs="宋体"/>
                <w:sz w:val="22"/>
                <w:szCs w:val="22"/>
              </w:rPr>
              <w:t>序号</w:t>
            </w:r>
          </w:p>
        </w:tc>
        <w:tc>
          <w:tcPr>
            <w:tcW w:w="1800" w:type="dxa"/>
            <w:gridSpan w:val="2"/>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补偿项目</w:t>
            </w:r>
          </w:p>
        </w:tc>
        <w:tc>
          <w:tcPr>
            <w:tcW w:w="11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结构</w:t>
            </w:r>
          </w:p>
        </w:tc>
        <w:tc>
          <w:tcPr>
            <w:tcW w:w="34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说明</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单位</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备注</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补偿标准（元/㎡）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w:t>
            </w:r>
          </w:p>
        </w:tc>
        <w:tc>
          <w:tcPr>
            <w:tcW w:w="6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住宅配套房屋</w:t>
            </w:r>
          </w:p>
        </w:tc>
        <w:tc>
          <w:tcPr>
            <w:tcW w:w="11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户外或院内以堆放生活、生产(农机、农具)杂物为主的房屋</w:t>
            </w:r>
          </w:p>
        </w:tc>
        <w:tc>
          <w:tcPr>
            <w:tcW w:w="11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框架结构</w:t>
            </w:r>
          </w:p>
        </w:tc>
        <w:tc>
          <w:tcPr>
            <w:tcW w:w="34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以砖墙和混凝土柱承重，现浇楼地面，层高2.2米以上</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600～700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砖混结构</w:t>
            </w:r>
          </w:p>
        </w:tc>
        <w:tc>
          <w:tcPr>
            <w:tcW w:w="34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以砖墙承重，现浇楼地面，层高2.2米以上</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500～600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砖木(瓦)结构</w:t>
            </w:r>
          </w:p>
        </w:tc>
        <w:tc>
          <w:tcPr>
            <w:tcW w:w="34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以砖墙承重，上盖机制瓦或石棉瓦，层高2.2米以上</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300～400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简易结构</w:t>
            </w:r>
          </w:p>
        </w:tc>
        <w:tc>
          <w:tcPr>
            <w:tcW w:w="34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以砖墙或砖柱承重，上盖机制瓦或石棉瓦，层高2.2米以下</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150～250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钢架棚</w:t>
            </w:r>
          </w:p>
        </w:tc>
        <w:tc>
          <w:tcPr>
            <w:tcW w:w="34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层高3.0米，每增加0.1米造价上浮1%，有隔音棉价格加10元</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80～120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w:t>
            </w:r>
          </w:p>
        </w:tc>
        <w:tc>
          <w:tcPr>
            <w:tcW w:w="6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农业生产配套用房</w:t>
            </w:r>
          </w:p>
        </w:tc>
        <w:tc>
          <w:tcPr>
            <w:tcW w:w="11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主要为农业生产服务为主的房屋</w:t>
            </w:r>
          </w:p>
        </w:tc>
        <w:tc>
          <w:tcPr>
            <w:tcW w:w="11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框架结构</w:t>
            </w:r>
          </w:p>
        </w:tc>
        <w:tc>
          <w:tcPr>
            <w:tcW w:w="34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以砖墙和混凝土柱承重，现浇楼面或预制板，层高2.2米以上</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500～600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砖混结构</w:t>
            </w:r>
          </w:p>
        </w:tc>
        <w:tc>
          <w:tcPr>
            <w:tcW w:w="34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以砖墙承重，现浇楼面或预制板，层高2.2米以上</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400～500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砖木(瓦)结构</w:t>
            </w:r>
          </w:p>
        </w:tc>
        <w:tc>
          <w:tcPr>
            <w:tcW w:w="34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以砖墙承重，上盖机制瓦或石棉瓦，层高2.2米以上</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200～350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砖砌钢架棚房</w:t>
            </w:r>
          </w:p>
        </w:tc>
        <w:tc>
          <w:tcPr>
            <w:tcW w:w="34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以砖墙承重，钢构架，上盖彩钢瓦（铁皮）</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钢架彩钢房</w:t>
            </w:r>
          </w:p>
        </w:tc>
        <w:tc>
          <w:tcPr>
            <w:tcW w:w="34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钢构架承重，墙体彩钢瓦围挡，上盖彩钢瓦（铁皮）</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200～250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简易结构</w:t>
            </w:r>
          </w:p>
        </w:tc>
        <w:tc>
          <w:tcPr>
            <w:tcW w:w="34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砖墙、砖柱承重，上盖石棉瓦，层高2.2米以下</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钢架棚</w:t>
            </w:r>
          </w:p>
        </w:tc>
        <w:tc>
          <w:tcPr>
            <w:tcW w:w="34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层高3.0米，每增加0.1米造价上浮1%</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70～100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户外简棚</w:t>
            </w:r>
          </w:p>
        </w:tc>
        <w:tc>
          <w:tcPr>
            <w:tcW w:w="34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以竹、木支撑，上盖石棉瓦或防雨布</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w:t>
            </w:r>
          </w:p>
        </w:tc>
        <w:tc>
          <w:tcPr>
            <w:tcW w:w="66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养殖用房</w:t>
            </w:r>
          </w:p>
        </w:tc>
        <w:tc>
          <w:tcPr>
            <w:tcW w:w="11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主要为养殖服务为主的房屋</w:t>
            </w:r>
          </w:p>
        </w:tc>
        <w:tc>
          <w:tcPr>
            <w:tcW w:w="11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钢混结构</w:t>
            </w:r>
          </w:p>
        </w:tc>
        <w:tc>
          <w:tcPr>
            <w:tcW w:w="34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以砖墙和混凝土柱承重，现浇楼面或预制板，层高2.2米以上</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350～450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砖混结构</w:t>
            </w:r>
          </w:p>
        </w:tc>
        <w:tc>
          <w:tcPr>
            <w:tcW w:w="34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以砖墙承重，现浇楼面或预制板，层高2.2米以上</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250～350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砖木(瓦)结构</w:t>
            </w:r>
          </w:p>
        </w:tc>
        <w:tc>
          <w:tcPr>
            <w:tcW w:w="34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以砖墙承重，上盖机制瓦或石棉瓦，层高2.2米以上</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砖柱(木)盖瓦棚舍</w:t>
            </w:r>
          </w:p>
        </w:tc>
        <w:tc>
          <w:tcPr>
            <w:tcW w:w="34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砖墙、砖柱承重，上盖石棉瓦</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66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木柱盖瓦棚舍</w:t>
            </w:r>
          </w:p>
        </w:tc>
        <w:tc>
          <w:tcPr>
            <w:tcW w:w="34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木柱承重，上盖石棉瓦</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75" w:hRule="atLeast"/>
        </w:trPr>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xml:space="preserve">备注                                  </w:t>
            </w:r>
          </w:p>
        </w:tc>
        <w:tc>
          <w:tcPr>
            <w:tcW w:w="8880" w:type="dxa"/>
            <w:gridSpan w:val="7"/>
            <w:shd w:val="clear" w:color="auto" w:fill="auto"/>
            <w:vAlign w:val="center"/>
          </w:tcPr>
          <w:p>
            <w:pPr>
              <w:kinsoku/>
              <w:autoSpaceDE/>
              <w:autoSpaceDN/>
              <w:adjustRightInd/>
              <w:snapToGrid/>
              <w:textAlignment w:val="auto"/>
              <w:rPr>
                <w:rFonts w:hint="eastAsia" w:ascii="仿宋" w:hAnsi="仿宋" w:eastAsia="仿宋" w:cs="宋体"/>
                <w:sz w:val="22"/>
                <w:szCs w:val="22"/>
              </w:rPr>
            </w:pPr>
            <w:r>
              <w:rPr>
                <w:rFonts w:hint="eastAsia" w:ascii="仿宋" w:hAnsi="仿宋" w:eastAsia="仿宋" w:cs="宋体"/>
                <w:sz w:val="22"/>
                <w:szCs w:val="22"/>
              </w:rPr>
              <w:t xml:space="preserve">1.上述房屋装修不另行计价，                                                    2.院内、外钢架棚下方水泥地面可视情况另行补偿。     </w:t>
            </w:r>
          </w:p>
        </w:tc>
      </w:tr>
      <w:bookmarkEnd w:id="1"/>
    </w:tbl>
    <w:p>
      <w:pPr>
        <w:spacing w:before="120" w:line="560" w:lineRule="exact"/>
        <w:outlineLvl w:val="0"/>
        <w:rPr>
          <w:rFonts w:ascii="仿宋" w:hAnsi="仿宋" w:eastAsia="仿宋" w:cs="仿宋_GB2312"/>
          <w:b/>
          <w:bCs/>
          <w:spacing w:val="-3"/>
          <w:sz w:val="32"/>
          <w:szCs w:val="32"/>
        </w:rPr>
      </w:pPr>
      <w:r>
        <w:rPr>
          <w:rFonts w:hint="eastAsia" w:ascii="仿宋" w:hAnsi="仿宋" w:eastAsia="仿宋" w:cs="仿宋_GB2312"/>
          <w:b/>
          <w:bCs/>
          <w:spacing w:val="-3"/>
          <w:sz w:val="32"/>
          <w:szCs w:val="32"/>
        </w:rPr>
        <w:t>五、集体土地上房屋拆迁补助标准</w:t>
      </w:r>
    </w:p>
    <w:p>
      <w:pPr>
        <w:spacing w:line="500" w:lineRule="exact"/>
        <w:jc w:val="center"/>
        <w:rPr>
          <w:rFonts w:hint="eastAsia" w:ascii="仿宋" w:hAnsi="仿宋" w:eastAsia="仿宋" w:cs="黑体"/>
          <w:color w:val="000000" w:themeColor="text1"/>
          <w:sz w:val="28"/>
          <w:szCs w:val="28"/>
          <w14:textFill>
            <w14:solidFill>
              <w14:schemeClr w14:val="tx1"/>
            </w14:solidFill>
          </w14:textFill>
        </w:rPr>
      </w:pPr>
      <w:r>
        <w:rPr>
          <w:rFonts w:hint="eastAsia" w:ascii="仿宋" w:hAnsi="仿宋" w:eastAsia="仿宋" w:cs="宋体"/>
          <w:b/>
          <w:bCs/>
          <w:sz w:val="24"/>
          <w:szCs w:val="24"/>
        </w:rPr>
        <w:t>表9    集体土地上房屋拆迁补助标准表</w:t>
      </w:r>
    </w:p>
    <w:tbl>
      <w:tblPr>
        <w:tblStyle w:val="5"/>
        <w:tblW w:w="9487" w:type="dxa"/>
        <w:tblInd w:w="11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57" w:type="dxa"/>
          <w:bottom w:w="0" w:type="dxa"/>
          <w:right w:w="57" w:type="dxa"/>
        </w:tblCellMar>
      </w:tblPr>
      <w:tblGrid>
        <w:gridCol w:w="640"/>
        <w:gridCol w:w="940"/>
        <w:gridCol w:w="2080"/>
        <w:gridCol w:w="800"/>
        <w:gridCol w:w="2147"/>
        <w:gridCol w:w="640"/>
        <w:gridCol w:w="700"/>
        <w:gridCol w:w="15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0" w:hRule="atLeast"/>
        </w:trPr>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序号</w:t>
            </w:r>
          </w:p>
        </w:tc>
        <w:tc>
          <w:tcPr>
            <w:tcW w:w="3020" w:type="dxa"/>
            <w:gridSpan w:val="2"/>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补偿项目</w:t>
            </w:r>
          </w:p>
        </w:tc>
        <w:tc>
          <w:tcPr>
            <w:tcW w:w="8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规格</w:t>
            </w:r>
          </w:p>
        </w:tc>
        <w:tc>
          <w:tcPr>
            <w:tcW w:w="214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说明</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单位</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备注</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补偿标准(元)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6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lang w:eastAsia="zh-CN"/>
              </w:rPr>
            </w:pPr>
            <w:r>
              <w:rPr>
                <w:rFonts w:hint="eastAsia" w:ascii="仿宋" w:hAnsi="仿宋" w:eastAsia="仿宋" w:cs="宋体"/>
                <w:sz w:val="22"/>
                <w:szCs w:val="22"/>
                <w:lang w:val="en-US" w:eastAsia="zh-CN"/>
              </w:rPr>
              <w:t>1</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家电类迁移补助</w:t>
            </w:r>
          </w:p>
        </w:tc>
        <w:tc>
          <w:tcPr>
            <w:tcW w:w="20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壁挂电视</w:t>
            </w:r>
          </w:p>
        </w:tc>
        <w:tc>
          <w:tcPr>
            <w:tcW w:w="8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14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迁移补助费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台</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0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燃气热水器</w:t>
            </w:r>
          </w:p>
        </w:tc>
        <w:tc>
          <w:tcPr>
            <w:tcW w:w="8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14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迁移补助费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台</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0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电热水器</w:t>
            </w:r>
          </w:p>
        </w:tc>
        <w:tc>
          <w:tcPr>
            <w:tcW w:w="8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14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迁移补助费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台</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0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抽油烟机</w:t>
            </w:r>
          </w:p>
        </w:tc>
        <w:tc>
          <w:tcPr>
            <w:tcW w:w="8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14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迁移补助费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台</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0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壁挂、窗式空调</w:t>
            </w:r>
          </w:p>
        </w:tc>
        <w:tc>
          <w:tcPr>
            <w:tcW w:w="8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14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迁移补助费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台</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0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柜式空调</w:t>
            </w:r>
          </w:p>
        </w:tc>
        <w:tc>
          <w:tcPr>
            <w:tcW w:w="8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14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迁移补助费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台</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0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吊扇、壁扇</w:t>
            </w:r>
          </w:p>
        </w:tc>
        <w:tc>
          <w:tcPr>
            <w:tcW w:w="8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14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迁移补助费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台</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6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lang w:eastAsia="zh-CN"/>
              </w:rPr>
            </w:pPr>
            <w:r>
              <w:rPr>
                <w:rFonts w:hint="eastAsia" w:ascii="仿宋" w:hAnsi="仿宋" w:eastAsia="仿宋" w:cs="宋体"/>
                <w:sz w:val="22"/>
                <w:szCs w:val="22"/>
                <w:lang w:val="en-US" w:eastAsia="zh-CN"/>
              </w:rPr>
              <w:t>2</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其他设施迁移补助</w:t>
            </w:r>
          </w:p>
        </w:tc>
        <w:tc>
          <w:tcPr>
            <w:tcW w:w="20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宽带网络</w:t>
            </w:r>
          </w:p>
        </w:tc>
        <w:tc>
          <w:tcPr>
            <w:tcW w:w="8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14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迁移补助费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项</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0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摄像头</w:t>
            </w:r>
          </w:p>
        </w:tc>
        <w:tc>
          <w:tcPr>
            <w:tcW w:w="8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14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迁移补助费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个</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0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塑料水箱</w:t>
            </w:r>
          </w:p>
        </w:tc>
        <w:tc>
          <w:tcPr>
            <w:tcW w:w="8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14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迁移补助费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个</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0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不锈钢水箱</w:t>
            </w:r>
          </w:p>
        </w:tc>
        <w:tc>
          <w:tcPr>
            <w:tcW w:w="8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14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迁移补助费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个</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0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空气能热水器</w:t>
            </w:r>
          </w:p>
        </w:tc>
        <w:tc>
          <w:tcPr>
            <w:tcW w:w="8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14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迁移补助费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台</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08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太阳能热水器</w:t>
            </w:r>
          </w:p>
        </w:tc>
        <w:tc>
          <w:tcPr>
            <w:tcW w:w="8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14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迁移补助费</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台</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500</w:t>
            </w:r>
          </w:p>
        </w:tc>
      </w:tr>
    </w:tbl>
    <w:p>
      <w:pPr>
        <w:spacing w:before="120" w:line="560" w:lineRule="exact"/>
        <w:outlineLvl w:val="0"/>
        <w:rPr>
          <w:rFonts w:hint="eastAsia" w:ascii="仿宋" w:hAnsi="仿宋" w:eastAsia="仿宋" w:cs="仿宋_GB2312"/>
          <w:b/>
          <w:bCs/>
          <w:spacing w:val="-3"/>
          <w:sz w:val="32"/>
          <w:szCs w:val="32"/>
        </w:rPr>
      </w:pPr>
      <w:r>
        <w:rPr>
          <w:rFonts w:hint="eastAsia" w:ascii="仿宋" w:hAnsi="仿宋" w:eastAsia="仿宋" w:cs="仿宋_GB2312"/>
          <w:b/>
          <w:bCs/>
          <w:spacing w:val="-3"/>
          <w:sz w:val="32"/>
          <w:szCs w:val="32"/>
        </w:rPr>
        <w:t>六、集体土地上其他建（构）筑物补偿标准</w:t>
      </w:r>
    </w:p>
    <w:p>
      <w:pPr>
        <w:pStyle w:val="2"/>
        <w:spacing w:line="560" w:lineRule="exact"/>
        <w:jc w:val="both"/>
        <w:rPr>
          <w:rFonts w:cs="仿宋_GB2312"/>
          <w:b/>
          <w:bCs/>
          <w:sz w:val="28"/>
          <w:szCs w:val="28"/>
          <w:lang w:eastAsia="zh-CN"/>
        </w:rPr>
      </w:pPr>
      <w:r>
        <w:rPr>
          <w:rFonts w:hint="eastAsia" w:cs="仿宋_GB2312"/>
          <w:b/>
          <w:bCs/>
          <w:sz w:val="28"/>
          <w:szCs w:val="28"/>
          <w:lang w:eastAsia="zh-CN"/>
        </w:rPr>
        <w:t>（一）构筑物类补偿标准</w:t>
      </w:r>
    </w:p>
    <w:p>
      <w:pPr>
        <w:spacing w:line="560" w:lineRule="exact"/>
        <w:jc w:val="center"/>
        <w:rPr>
          <w:rFonts w:hint="eastAsia" w:ascii="仿宋" w:hAnsi="仿宋" w:eastAsia="仿宋" w:cs="黑体"/>
          <w:color w:val="000000" w:themeColor="text1"/>
          <w:sz w:val="28"/>
          <w:szCs w:val="28"/>
          <w14:textFill>
            <w14:solidFill>
              <w14:schemeClr w14:val="tx1"/>
            </w14:solidFill>
          </w14:textFill>
        </w:rPr>
      </w:pPr>
      <w:r>
        <w:rPr>
          <w:rFonts w:hint="eastAsia" w:ascii="仿宋" w:hAnsi="仿宋" w:eastAsia="仿宋" w:cs="宋体"/>
          <w:b/>
          <w:bCs/>
          <w:sz w:val="24"/>
          <w:szCs w:val="24"/>
        </w:rPr>
        <w:t>表10  集体土地上其他构筑物标准表</w:t>
      </w:r>
    </w:p>
    <w:tbl>
      <w:tblPr>
        <w:tblStyle w:val="5"/>
        <w:tblW w:w="9520" w:type="dxa"/>
        <w:tblInd w:w="11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57" w:type="dxa"/>
          <w:bottom w:w="0" w:type="dxa"/>
          <w:right w:w="57" w:type="dxa"/>
        </w:tblCellMar>
      </w:tblPr>
      <w:tblGrid>
        <w:gridCol w:w="540"/>
        <w:gridCol w:w="940"/>
        <w:gridCol w:w="1540"/>
        <w:gridCol w:w="840"/>
        <w:gridCol w:w="2960"/>
        <w:gridCol w:w="640"/>
        <w:gridCol w:w="700"/>
        <w:gridCol w:w="13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30" w:hRule="atLeast"/>
          <w:tblHeader/>
        </w:trPr>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bookmarkStart w:id="2" w:name="_Hlk200962230"/>
            <w:r>
              <w:rPr>
                <w:rFonts w:hint="eastAsia" w:ascii="仿宋" w:hAnsi="仿宋" w:eastAsia="仿宋" w:cs="宋体"/>
                <w:sz w:val="22"/>
                <w:szCs w:val="22"/>
              </w:rPr>
              <w:t>序号</w:t>
            </w:r>
          </w:p>
        </w:tc>
        <w:tc>
          <w:tcPr>
            <w:tcW w:w="2480" w:type="dxa"/>
            <w:gridSpan w:val="2"/>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补偿项目</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规格</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说明</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单位</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备注</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补偿标准（元）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待建房基础</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片石</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含挖土方，片石、水泥砂浆砌筑</w:t>
            </w:r>
          </w:p>
        </w:tc>
        <w:tc>
          <w:tcPr>
            <w:tcW w:w="640" w:type="dxa"/>
            <w:shd w:val="clear" w:color="auto" w:fill="auto"/>
            <w:vAlign w:val="center"/>
          </w:tcPr>
          <w:p>
            <w:pPr>
              <w:kinsoku/>
              <w:autoSpaceDE/>
              <w:autoSpaceDN/>
              <w:adjustRightInd/>
              <w:snapToGrid/>
              <w:jc w:val="center"/>
              <w:textAlignment w:val="auto"/>
              <w:rPr>
                <w:rFonts w:hint="eastAsia" w:ascii="宋体" w:hAnsi="宋体" w:cs="宋体"/>
                <w:sz w:val="22"/>
                <w:szCs w:val="22"/>
              </w:rPr>
            </w:pPr>
            <w:r>
              <w:rPr>
                <w:rFonts w:hint="eastAsia" w:ascii="宋体" w:hAnsi="宋体" w:cs="宋体"/>
                <w:sz w:val="22"/>
                <w:szCs w:val="22"/>
              </w:rPr>
              <w:t>m³</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250</w:t>
            </w:r>
            <w:r>
              <w:rPr>
                <w:rFonts w:hint="eastAsia" w:ascii="宋体" w:hAnsi="宋体" w:cs="宋体"/>
                <w:sz w:val="22"/>
                <w:szCs w:val="22"/>
              </w:rPr>
              <w:t>～</w:t>
            </w:r>
            <w:r>
              <w:rPr>
                <w:rFonts w:hint="eastAsia" w:ascii="仿宋" w:hAnsi="仿宋" w:eastAsia="仿宋" w:cs="宋体"/>
                <w:sz w:val="22"/>
                <w:szCs w:val="22"/>
              </w:rPr>
              <w:t>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素混凝土</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含挖土方，水泥混合砂浆或商品混凝土浇筑</w:t>
            </w:r>
          </w:p>
        </w:tc>
        <w:tc>
          <w:tcPr>
            <w:tcW w:w="640" w:type="dxa"/>
            <w:shd w:val="clear" w:color="auto" w:fill="auto"/>
            <w:vAlign w:val="center"/>
          </w:tcPr>
          <w:p>
            <w:pPr>
              <w:kinsoku/>
              <w:autoSpaceDE/>
              <w:autoSpaceDN/>
              <w:adjustRightInd/>
              <w:snapToGrid/>
              <w:jc w:val="center"/>
              <w:textAlignment w:val="auto"/>
              <w:rPr>
                <w:rFonts w:hint="eastAsia" w:ascii="宋体" w:hAnsi="宋体" w:cs="宋体"/>
                <w:sz w:val="22"/>
                <w:szCs w:val="22"/>
              </w:rPr>
            </w:pPr>
            <w:r>
              <w:rPr>
                <w:rFonts w:hint="eastAsia" w:ascii="宋体" w:hAnsi="宋体" w:cs="宋体"/>
                <w:sz w:val="22"/>
                <w:szCs w:val="22"/>
              </w:rPr>
              <w:t>m³</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300～400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钢筋混凝土</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含挖土方、支模，水泥混合砂浆或商品混凝土浇筑</w:t>
            </w:r>
          </w:p>
        </w:tc>
        <w:tc>
          <w:tcPr>
            <w:tcW w:w="640" w:type="dxa"/>
            <w:shd w:val="clear" w:color="auto" w:fill="auto"/>
            <w:vAlign w:val="center"/>
          </w:tcPr>
          <w:p>
            <w:pPr>
              <w:kinsoku/>
              <w:autoSpaceDE/>
              <w:autoSpaceDN/>
              <w:adjustRightInd/>
              <w:snapToGrid/>
              <w:jc w:val="center"/>
              <w:textAlignment w:val="auto"/>
              <w:rPr>
                <w:rFonts w:hint="eastAsia" w:ascii="宋体" w:hAnsi="宋体" w:cs="宋体"/>
                <w:sz w:val="22"/>
                <w:szCs w:val="22"/>
              </w:rPr>
            </w:pPr>
            <w:r>
              <w:rPr>
                <w:rFonts w:hint="eastAsia" w:ascii="宋体" w:hAnsi="宋体" w:cs="宋体"/>
                <w:sz w:val="22"/>
                <w:szCs w:val="22"/>
              </w:rPr>
              <w:t>m³</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400～500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钢筋混凝土柱/梁</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含打桩、支模，钢筋笼或箍，商品混凝土浇筑</w:t>
            </w:r>
          </w:p>
        </w:tc>
        <w:tc>
          <w:tcPr>
            <w:tcW w:w="640" w:type="dxa"/>
            <w:shd w:val="clear" w:color="auto" w:fill="auto"/>
            <w:vAlign w:val="center"/>
          </w:tcPr>
          <w:p>
            <w:pPr>
              <w:kinsoku/>
              <w:autoSpaceDE/>
              <w:autoSpaceDN/>
              <w:adjustRightInd/>
              <w:snapToGrid/>
              <w:jc w:val="center"/>
              <w:textAlignment w:val="auto"/>
              <w:rPr>
                <w:rFonts w:hint="eastAsia" w:ascii="宋体" w:hAnsi="宋体" w:cs="宋体"/>
                <w:sz w:val="22"/>
                <w:szCs w:val="22"/>
              </w:rPr>
            </w:pPr>
            <w:r>
              <w:rPr>
                <w:rFonts w:hint="eastAsia" w:ascii="宋体" w:hAnsi="宋体" w:cs="宋体"/>
                <w:sz w:val="22"/>
                <w:szCs w:val="22"/>
              </w:rPr>
              <w:t>m³</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600-700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大门</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砖木大门</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入户门斗，木屋架上盖机制瓦或小青瓦</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砖混大门</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入户门斗，砖柱或混凝土柱，混凝土浇筑楼板</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250～350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围墙</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红(青)砖</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视单/双砖、实物情况补偿</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水泥砖</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视大/小砖、实物情况补偿</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江石/毛石</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视墙厚、实物情况补偿</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40～70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挡土墙</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红(青)砖</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视建造标准、装修补偿</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230～280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水泥砖</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视建造标准、装修补偿</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200～250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片石</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视建造标准、装修补偿</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180～230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江石/毛石</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视建造标准、装修补偿</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130～160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w:t>
            </w:r>
          </w:p>
        </w:tc>
        <w:tc>
          <w:tcPr>
            <w:tcW w:w="9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女儿墙</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红(青)砖</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视单/双砖、实物情况补偿</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55～85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地/路面</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三合土/石渣</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视铺设厚度补偿</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红、青砖</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视铺设厚度补偿</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水泥砂浆地/路面</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厚度≤10cm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厚度＞10cm，≤15cm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厚度＞15cm，≤20cm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厚度＞20cm，≤30cm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80～120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660" w:type="dxa"/>
            <w:gridSpan w:val="4"/>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厚度＞30cm，每增加1cm，价格上浮5%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混凝土地/路面</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厚度≤10cm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50～70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厚度＞10cm，≤15cm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70～90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厚度＞15cm，≤20cm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90～110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厚度＞20cm，≤30cm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110～150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5660" w:type="dxa"/>
            <w:gridSpan w:val="4"/>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厚度大于30cm，每增加1cm，价格上浮5%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水池、水井</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砖砌蓄水池</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家用</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视建造标准、装修补偿</w:t>
            </w:r>
          </w:p>
        </w:tc>
        <w:tc>
          <w:tcPr>
            <w:tcW w:w="640" w:type="dxa"/>
            <w:shd w:val="clear" w:color="auto" w:fill="auto"/>
            <w:vAlign w:val="center"/>
          </w:tcPr>
          <w:p>
            <w:pPr>
              <w:kinsoku/>
              <w:autoSpaceDE/>
              <w:autoSpaceDN/>
              <w:adjustRightInd/>
              <w:snapToGrid/>
              <w:jc w:val="center"/>
              <w:textAlignment w:val="auto"/>
              <w:rPr>
                <w:rFonts w:hint="eastAsia" w:ascii="宋体" w:hAnsi="宋体" w:cs="宋体"/>
                <w:sz w:val="22"/>
                <w:szCs w:val="22"/>
              </w:rPr>
            </w:pPr>
            <w:r>
              <w:rPr>
                <w:rFonts w:hint="eastAsia" w:ascii="宋体" w:hAnsi="宋体" w:cs="宋体"/>
                <w:sz w:val="22"/>
                <w:szCs w:val="22"/>
              </w:rPr>
              <w:t>m³</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混凝土水池</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家用</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视建造标准补偿</w:t>
            </w:r>
          </w:p>
        </w:tc>
        <w:tc>
          <w:tcPr>
            <w:tcW w:w="640" w:type="dxa"/>
            <w:shd w:val="clear" w:color="auto" w:fill="auto"/>
            <w:vAlign w:val="center"/>
          </w:tcPr>
          <w:p>
            <w:pPr>
              <w:kinsoku/>
              <w:autoSpaceDE/>
              <w:autoSpaceDN/>
              <w:adjustRightInd/>
              <w:snapToGrid/>
              <w:jc w:val="center"/>
              <w:textAlignment w:val="auto"/>
              <w:rPr>
                <w:rFonts w:hint="eastAsia" w:ascii="宋体" w:hAnsi="宋体" w:cs="宋体"/>
                <w:sz w:val="22"/>
                <w:szCs w:val="22"/>
              </w:rPr>
            </w:pPr>
            <w:r>
              <w:rPr>
                <w:rFonts w:hint="eastAsia" w:ascii="宋体" w:hAnsi="宋体" w:cs="宋体"/>
                <w:sz w:val="22"/>
                <w:szCs w:val="22"/>
              </w:rPr>
              <w:t>m³</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200～250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普通水井</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家用</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含管线、附属设施</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口</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1000～2500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机钻井</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含管线、水泵设施</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250～350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化粪池、沼气池</w:t>
            </w:r>
          </w:p>
        </w:tc>
        <w:tc>
          <w:tcPr>
            <w:tcW w:w="1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化粪池</w:t>
            </w:r>
          </w:p>
        </w:tc>
        <w:tc>
          <w:tcPr>
            <w:tcW w:w="8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混凝土盖板</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小于15m</w:t>
            </w:r>
            <w:r>
              <w:rPr>
                <w:rFonts w:hint="eastAsia" w:ascii="Malgun Gothic" w:hAnsi="Malgun Gothic" w:eastAsia="Malgun Gothic" w:cs="宋体"/>
                <w:sz w:val="22"/>
                <w:szCs w:val="22"/>
              </w:rPr>
              <w:t>³</w:t>
            </w:r>
          </w:p>
        </w:tc>
        <w:tc>
          <w:tcPr>
            <w:tcW w:w="640" w:type="dxa"/>
            <w:shd w:val="clear" w:color="auto" w:fill="auto"/>
            <w:vAlign w:val="center"/>
          </w:tcPr>
          <w:p>
            <w:pPr>
              <w:kinsoku/>
              <w:autoSpaceDE/>
              <w:autoSpaceDN/>
              <w:adjustRightInd/>
              <w:snapToGrid/>
              <w:jc w:val="center"/>
              <w:textAlignment w:val="auto"/>
              <w:rPr>
                <w:rFonts w:hint="eastAsia" w:ascii="宋体" w:hAnsi="宋体" w:cs="宋体"/>
                <w:sz w:val="22"/>
                <w:szCs w:val="22"/>
              </w:rPr>
            </w:pPr>
            <w:r>
              <w:rPr>
                <w:rFonts w:hint="eastAsia" w:ascii="宋体" w:hAnsi="宋体" w:cs="宋体"/>
                <w:sz w:val="22"/>
                <w:szCs w:val="22"/>
              </w:rPr>
              <w:t>m³</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250～300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8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15m</w:t>
            </w:r>
            <w:r>
              <w:rPr>
                <w:rFonts w:hint="eastAsia" w:ascii="Malgun Gothic" w:hAnsi="Malgun Gothic" w:eastAsia="Malgun Gothic" w:cs="宋体"/>
                <w:sz w:val="22"/>
                <w:szCs w:val="22"/>
              </w:rPr>
              <w:t>³</w:t>
            </w:r>
            <w:r>
              <w:rPr>
                <w:rFonts w:hint="eastAsia" w:ascii="仿宋" w:hAnsi="仿宋" w:eastAsia="仿宋" w:cs="宋体"/>
                <w:sz w:val="22"/>
                <w:szCs w:val="22"/>
              </w:rPr>
              <w:t>以上</w:t>
            </w:r>
          </w:p>
        </w:tc>
        <w:tc>
          <w:tcPr>
            <w:tcW w:w="640" w:type="dxa"/>
            <w:shd w:val="clear" w:color="auto" w:fill="auto"/>
            <w:vAlign w:val="center"/>
          </w:tcPr>
          <w:p>
            <w:pPr>
              <w:kinsoku/>
              <w:autoSpaceDE/>
              <w:autoSpaceDN/>
              <w:adjustRightInd/>
              <w:snapToGrid/>
              <w:jc w:val="center"/>
              <w:textAlignment w:val="auto"/>
              <w:rPr>
                <w:rFonts w:hint="eastAsia" w:ascii="宋体" w:hAnsi="宋体" w:cs="宋体"/>
                <w:sz w:val="22"/>
                <w:szCs w:val="22"/>
              </w:rPr>
            </w:pPr>
            <w:r>
              <w:rPr>
                <w:rFonts w:hint="eastAsia" w:ascii="宋体" w:hAnsi="宋体" w:cs="宋体"/>
                <w:sz w:val="22"/>
                <w:szCs w:val="22"/>
              </w:rPr>
              <w:t>m³</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200～250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沼气池</w:t>
            </w:r>
          </w:p>
        </w:tc>
        <w:tc>
          <w:tcPr>
            <w:tcW w:w="8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混凝土盖板</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小于15m</w:t>
            </w:r>
            <w:r>
              <w:rPr>
                <w:rFonts w:hint="eastAsia" w:ascii="Malgun Gothic" w:hAnsi="Malgun Gothic" w:eastAsia="Malgun Gothic" w:cs="宋体"/>
                <w:sz w:val="22"/>
                <w:szCs w:val="22"/>
              </w:rPr>
              <w:t>³</w:t>
            </w:r>
          </w:p>
        </w:tc>
        <w:tc>
          <w:tcPr>
            <w:tcW w:w="640" w:type="dxa"/>
            <w:shd w:val="clear" w:color="auto" w:fill="auto"/>
            <w:vAlign w:val="center"/>
          </w:tcPr>
          <w:p>
            <w:pPr>
              <w:kinsoku/>
              <w:autoSpaceDE/>
              <w:autoSpaceDN/>
              <w:adjustRightInd/>
              <w:snapToGrid/>
              <w:jc w:val="center"/>
              <w:textAlignment w:val="auto"/>
              <w:rPr>
                <w:rFonts w:hint="eastAsia" w:ascii="宋体" w:hAnsi="宋体" w:cs="宋体"/>
                <w:sz w:val="22"/>
                <w:szCs w:val="22"/>
              </w:rPr>
            </w:pPr>
            <w:r>
              <w:rPr>
                <w:rFonts w:hint="eastAsia" w:ascii="宋体" w:hAnsi="宋体" w:cs="宋体"/>
                <w:sz w:val="22"/>
                <w:szCs w:val="22"/>
              </w:rPr>
              <w:t>m³</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400～450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8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15m</w:t>
            </w:r>
            <w:r>
              <w:rPr>
                <w:rFonts w:hint="eastAsia" w:ascii="Malgun Gothic" w:hAnsi="Malgun Gothic" w:eastAsia="Malgun Gothic" w:cs="宋体"/>
                <w:sz w:val="22"/>
                <w:szCs w:val="22"/>
              </w:rPr>
              <w:t>³</w:t>
            </w:r>
            <w:r>
              <w:rPr>
                <w:rFonts w:hint="eastAsia" w:ascii="仿宋" w:hAnsi="仿宋" w:eastAsia="仿宋" w:cs="宋体"/>
                <w:sz w:val="22"/>
                <w:szCs w:val="22"/>
              </w:rPr>
              <w:t>以上</w:t>
            </w:r>
          </w:p>
        </w:tc>
        <w:tc>
          <w:tcPr>
            <w:tcW w:w="640" w:type="dxa"/>
            <w:shd w:val="clear" w:color="auto" w:fill="auto"/>
            <w:vAlign w:val="center"/>
          </w:tcPr>
          <w:p>
            <w:pPr>
              <w:kinsoku/>
              <w:autoSpaceDE/>
              <w:autoSpaceDN/>
              <w:adjustRightInd/>
              <w:snapToGrid/>
              <w:jc w:val="center"/>
              <w:textAlignment w:val="auto"/>
              <w:rPr>
                <w:rFonts w:hint="eastAsia" w:ascii="宋体" w:hAnsi="宋体" w:cs="宋体"/>
                <w:sz w:val="22"/>
                <w:szCs w:val="22"/>
              </w:rPr>
            </w:pPr>
            <w:r>
              <w:rPr>
                <w:rFonts w:hint="eastAsia" w:ascii="宋体" w:hAnsi="宋体" w:cs="宋体"/>
                <w:sz w:val="22"/>
                <w:szCs w:val="22"/>
              </w:rPr>
              <w:t>m³</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300～400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农用蓄水池</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覆膜无砌体</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防渗黑塑料膜</w:t>
            </w:r>
          </w:p>
        </w:tc>
        <w:tc>
          <w:tcPr>
            <w:tcW w:w="640" w:type="dxa"/>
            <w:shd w:val="clear" w:color="auto" w:fill="auto"/>
            <w:vAlign w:val="center"/>
          </w:tcPr>
          <w:p>
            <w:pPr>
              <w:kinsoku/>
              <w:autoSpaceDE/>
              <w:autoSpaceDN/>
              <w:adjustRightInd/>
              <w:snapToGrid/>
              <w:jc w:val="center"/>
              <w:textAlignment w:val="auto"/>
              <w:rPr>
                <w:rFonts w:hint="eastAsia" w:ascii="宋体" w:hAnsi="宋体" w:cs="宋体"/>
                <w:sz w:val="22"/>
                <w:szCs w:val="22"/>
              </w:rPr>
            </w:pPr>
            <w:r>
              <w:rPr>
                <w:rFonts w:hint="eastAsia" w:ascii="宋体" w:hAnsi="宋体" w:cs="宋体"/>
                <w:sz w:val="22"/>
                <w:szCs w:val="22"/>
              </w:rPr>
              <w:t>m³</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砖砌/混凝土</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小于30m</w:t>
            </w:r>
            <w:r>
              <w:rPr>
                <w:rFonts w:hint="eastAsia" w:ascii="Malgun Gothic" w:hAnsi="Malgun Gothic" w:eastAsia="Malgun Gothic" w:cs="宋体"/>
                <w:sz w:val="22"/>
                <w:szCs w:val="22"/>
              </w:rPr>
              <w:t>³</w:t>
            </w:r>
          </w:p>
        </w:tc>
        <w:tc>
          <w:tcPr>
            <w:tcW w:w="640" w:type="dxa"/>
            <w:shd w:val="clear" w:color="auto" w:fill="auto"/>
            <w:vAlign w:val="center"/>
          </w:tcPr>
          <w:p>
            <w:pPr>
              <w:kinsoku/>
              <w:autoSpaceDE/>
              <w:autoSpaceDN/>
              <w:adjustRightInd/>
              <w:snapToGrid/>
              <w:jc w:val="center"/>
              <w:textAlignment w:val="auto"/>
              <w:rPr>
                <w:rFonts w:hint="eastAsia" w:ascii="宋体" w:hAnsi="宋体" w:cs="宋体"/>
                <w:sz w:val="22"/>
                <w:szCs w:val="22"/>
              </w:rPr>
            </w:pPr>
            <w:r>
              <w:rPr>
                <w:rFonts w:hint="eastAsia" w:ascii="宋体" w:hAnsi="宋体" w:cs="宋体"/>
                <w:sz w:val="22"/>
                <w:szCs w:val="22"/>
              </w:rPr>
              <w:t>m³</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30m</w:t>
            </w:r>
            <w:r>
              <w:rPr>
                <w:rFonts w:hint="eastAsia" w:ascii="Malgun Gothic" w:hAnsi="Malgun Gothic" w:eastAsia="Malgun Gothic" w:cs="宋体"/>
                <w:sz w:val="22"/>
                <w:szCs w:val="22"/>
              </w:rPr>
              <w:t>³</w:t>
            </w:r>
            <w:r>
              <w:rPr>
                <w:rFonts w:hint="eastAsia" w:ascii="仿宋" w:hAnsi="仿宋" w:eastAsia="仿宋" w:cs="宋体"/>
                <w:sz w:val="22"/>
                <w:szCs w:val="22"/>
              </w:rPr>
              <w:t>以上</w:t>
            </w:r>
          </w:p>
        </w:tc>
        <w:tc>
          <w:tcPr>
            <w:tcW w:w="640" w:type="dxa"/>
            <w:shd w:val="clear" w:color="auto" w:fill="auto"/>
            <w:vAlign w:val="center"/>
          </w:tcPr>
          <w:p>
            <w:pPr>
              <w:kinsoku/>
              <w:autoSpaceDE/>
              <w:autoSpaceDN/>
              <w:adjustRightInd/>
              <w:snapToGrid/>
              <w:jc w:val="center"/>
              <w:textAlignment w:val="auto"/>
              <w:rPr>
                <w:rFonts w:hint="eastAsia" w:ascii="宋体" w:hAnsi="宋体" w:cs="宋体"/>
                <w:sz w:val="22"/>
                <w:szCs w:val="22"/>
              </w:rPr>
            </w:pPr>
            <w:r>
              <w:rPr>
                <w:rFonts w:hint="eastAsia" w:ascii="宋体" w:hAnsi="宋体" w:cs="宋体"/>
                <w:sz w:val="22"/>
                <w:szCs w:val="22"/>
              </w:rPr>
              <w:t>m³</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11</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农业种植大棚</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普通种植大棚</w:t>
            </w:r>
          </w:p>
        </w:tc>
        <w:tc>
          <w:tcPr>
            <w:tcW w:w="840" w:type="dxa"/>
            <w:shd w:val="clear" w:color="auto" w:fill="auto"/>
            <w:vAlign w:val="center"/>
          </w:tcPr>
          <w:p>
            <w:pPr>
              <w:kinsoku/>
              <w:autoSpaceDE/>
              <w:autoSpaceDN/>
              <w:adjustRightInd/>
              <w:snapToGrid/>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竹(木)杆或镀锌钢管支撑，塑料透光膜，遮光膜</w:t>
            </w:r>
          </w:p>
        </w:tc>
        <w:tc>
          <w:tcPr>
            <w:tcW w:w="640" w:type="dxa"/>
            <w:shd w:val="clear" w:color="auto" w:fill="auto"/>
            <w:vAlign w:val="center"/>
          </w:tcPr>
          <w:p>
            <w:pPr>
              <w:kinsoku/>
              <w:autoSpaceDE/>
              <w:autoSpaceDN/>
              <w:adjustRightInd/>
              <w:snapToGrid/>
              <w:jc w:val="center"/>
              <w:textAlignment w:val="auto"/>
              <w:rPr>
                <w:rFonts w:hint="eastAsia" w:ascii="宋体" w:hAnsi="宋体" w:cs="宋体"/>
                <w:sz w:val="22"/>
                <w:szCs w:val="22"/>
              </w:rPr>
            </w:pPr>
            <w:r>
              <w:rPr>
                <w:rFonts w:hint="eastAsia" w:ascii="宋体" w:hAnsi="宋体"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标准种植大棚</w:t>
            </w:r>
          </w:p>
        </w:tc>
        <w:tc>
          <w:tcPr>
            <w:tcW w:w="840" w:type="dxa"/>
            <w:shd w:val="clear" w:color="auto" w:fill="auto"/>
            <w:vAlign w:val="center"/>
          </w:tcPr>
          <w:p>
            <w:pPr>
              <w:kinsoku/>
              <w:autoSpaceDE/>
              <w:autoSpaceDN/>
              <w:adjustRightInd/>
              <w:snapToGrid/>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高度5米以上，有通风、喷淋设施，自动升降隔帘</w:t>
            </w:r>
          </w:p>
        </w:tc>
        <w:tc>
          <w:tcPr>
            <w:tcW w:w="640" w:type="dxa"/>
            <w:shd w:val="clear" w:color="auto" w:fill="auto"/>
            <w:vAlign w:val="center"/>
          </w:tcPr>
          <w:p>
            <w:pPr>
              <w:kinsoku/>
              <w:autoSpaceDE/>
              <w:autoSpaceDN/>
              <w:adjustRightInd/>
              <w:snapToGrid/>
              <w:jc w:val="center"/>
              <w:textAlignment w:val="auto"/>
              <w:rPr>
                <w:rFonts w:hint="eastAsia" w:ascii="宋体" w:hAnsi="宋体" w:cs="宋体"/>
                <w:sz w:val="22"/>
                <w:szCs w:val="22"/>
              </w:rPr>
            </w:pPr>
            <w:r>
              <w:rPr>
                <w:rFonts w:hint="eastAsia" w:ascii="宋体" w:hAnsi="宋体" w:cs="宋体"/>
                <w:sz w:val="22"/>
                <w:szCs w:val="22"/>
              </w:rPr>
              <w:t>m³</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农业附属设施</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铁丝网/围栏</w:t>
            </w:r>
          </w:p>
        </w:tc>
        <w:tc>
          <w:tcPr>
            <w:tcW w:w="840" w:type="dxa"/>
            <w:shd w:val="clear" w:color="auto" w:fill="auto"/>
            <w:vAlign w:val="center"/>
          </w:tcPr>
          <w:p>
            <w:pPr>
              <w:kinsoku/>
              <w:autoSpaceDE/>
              <w:autoSpaceDN/>
              <w:adjustRightInd/>
              <w:snapToGrid/>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塑料透光膜，遮光膜</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带刺铁丝</w:t>
            </w:r>
          </w:p>
        </w:tc>
        <w:tc>
          <w:tcPr>
            <w:tcW w:w="840" w:type="dxa"/>
            <w:shd w:val="clear" w:color="auto" w:fill="auto"/>
            <w:vAlign w:val="center"/>
          </w:tcPr>
          <w:p>
            <w:pPr>
              <w:kinsoku/>
              <w:autoSpaceDE/>
              <w:autoSpaceDN/>
              <w:adjustRightInd/>
              <w:snapToGrid/>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视布置密度补偿</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0.5～1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彩棚布</w:t>
            </w:r>
          </w:p>
        </w:tc>
        <w:tc>
          <w:tcPr>
            <w:tcW w:w="840" w:type="dxa"/>
            <w:shd w:val="clear" w:color="auto" w:fill="auto"/>
            <w:vAlign w:val="center"/>
          </w:tcPr>
          <w:p>
            <w:pPr>
              <w:kinsoku/>
              <w:autoSpaceDE/>
              <w:autoSpaceDN/>
              <w:adjustRightInd/>
              <w:snapToGrid/>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防草布</w:t>
            </w:r>
          </w:p>
        </w:tc>
        <w:tc>
          <w:tcPr>
            <w:tcW w:w="840" w:type="dxa"/>
            <w:shd w:val="clear" w:color="auto" w:fill="auto"/>
            <w:vAlign w:val="center"/>
          </w:tcPr>
          <w:p>
            <w:pPr>
              <w:kinsoku/>
              <w:autoSpaceDE/>
              <w:autoSpaceDN/>
              <w:adjustRightInd/>
              <w:snapToGrid/>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水泥柱</w:t>
            </w:r>
          </w:p>
        </w:tc>
        <w:tc>
          <w:tcPr>
            <w:tcW w:w="840" w:type="dxa"/>
            <w:shd w:val="clear" w:color="auto" w:fill="auto"/>
            <w:vAlign w:val="center"/>
          </w:tcPr>
          <w:p>
            <w:pPr>
              <w:kinsoku/>
              <w:autoSpaceDE/>
              <w:autoSpaceDN/>
              <w:adjustRightInd/>
              <w:snapToGrid/>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视长度补偿</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根</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铁皮门</w:t>
            </w:r>
          </w:p>
        </w:tc>
        <w:tc>
          <w:tcPr>
            <w:tcW w:w="840" w:type="dxa"/>
            <w:shd w:val="clear" w:color="auto" w:fill="auto"/>
            <w:vAlign w:val="center"/>
          </w:tcPr>
          <w:p>
            <w:pPr>
              <w:kinsoku/>
              <w:autoSpaceDE/>
              <w:autoSpaceDN/>
              <w:adjustRightInd/>
              <w:snapToGrid/>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80～120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焊接铁枝门</w:t>
            </w:r>
          </w:p>
        </w:tc>
        <w:tc>
          <w:tcPr>
            <w:tcW w:w="840" w:type="dxa"/>
            <w:shd w:val="clear" w:color="auto" w:fill="auto"/>
            <w:vAlign w:val="center"/>
          </w:tcPr>
          <w:p>
            <w:pPr>
              <w:kinsoku/>
              <w:autoSpaceDE/>
              <w:autoSpaceDN/>
              <w:adjustRightInd/>
              <w:snapToGrid/>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70～120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铁皮围挡</w:t>
            </w:r>
          </w:p>
        </w:tc>
        <w:tc>
          <w:tcPr>
            <w:tcW w:w="840" w:type="dxa"/>
            <w:shd w:val="clear" w:color="auto" w:fill="auto"/>
            <w:vAlign w:val="center"/>
          </w:tcPr>
          <w:p>
            <w:pPr>
              <w:kinsoku/>
              <w:autoSpaceDE/>
              <w:autoSpaceDN/>
              <w:adjustRightInd/>
              <w:snapToGrid/>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薄膜管</w:t>
            </w:r>
          </w:p>
        </w:tc>
        <w:tc>
          <w:tcPr>
            <w:tcW w:w="840" w:type="dxa"/>
            <w:shd w:val="clear" w:color="auto" w:fill="auto"/>
            <w:vAlign w:val="center"/>
          </w:tcPr>
          <w:p>
            <w:pPr>
              <w:kinsoku/>
              <w:autoSpaceDE/>
              <w:autoSpaceDN/>
              <w:adjustRightInd/>
              <w:snapToGrid/>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960" w:hRule="atLeas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13</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农业灌溉设施</w:t>
            </w:r>
          </w:p>
        </w:tc>
        <w:tc>
          <w:tcPr>
            <w:tcW w:w="1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农用地自动喷淋设施</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rPr>
            </w:pPr>
            <w:r>
              <w:rPr>
                <w:rFonts w:hint="eastAsia" w:ascii="仿宋" w:hAnsi="仿宋" w:eastAsia="仿宋" w:cs="宋体"/>
              </w:rPr>
              <w:t>布管稀疏，</w:t>
            </w:r>
            <w:r>
              <w:rPr>
                <w:rFonts w:ascii="Calibri" w:hAnsi="Calibri" w:eastAsia="仿宋" w:cs="Calibri"/>
              </w:rPr>
              <w:t>φ</w:t>
            </w:r>
            <w:r>
              <w:rPr>
                <w:rFonts w:hint="eastAsia" w:ascii="仿宋" w:hAnsi="仿宋" w:eastAsia="仿宋" w:cs="宋体"/>
              </w:rPr>
              <w:t>90或110mmPE供水主管，支管为</w:t>
            </w:r>
            <w:r>
              <w:rPr>
                <w:rFonts w:ascii="Calibri" w:hAnsi="Calibri" w:eastAsia="仿宋" w:cs="Calibri"/>
              </w:rPr>
              <w:t>φ</w:t>
            </w:r>
            <w:r>
              <w:rPr>
                <w:rFonts w:hint="eastAsia" w:ascii="仿宋" w:hAnsi="仿宋" w:eastAsia="仿宋" w:cs="宋体"/>
              </w:rPr>
              <w:t>25mmPE管，末端PE细竖管安装喷头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800～1200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960"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rPr>
            </w:pPr>
            <w:r>
              <w:rPr>
                <w:rFonts w:hint="eastAsia" w:ascii="仿宋" w:hAnsi="仿宋" w:eastAsia="仿宋" w:cs="宋体"/>
              </w:rPr>
              <w:t>布管稍密，</w:t>
            </w:r>
            <w:r>
              <w:rPr>
                <w:rFonts w:ascii="Calibri" w:hAnsi="Calibri" w:eastAsia="仿宋" w:cs="Calibri"/>
              </w:rPr>
              <w:t>φ</w:t>
            </w:r>
            <w:r>
              <w:rPr>
                <w:rFonts w:hint="eastAsia" w:ascii="仿宋" w:hAnsi="仿宋" w:eastAsia="仿宋" w:cs="宋体"/>
              </w:rPr>
              <w:t>90或110mmPVC供水主管，支管为</w:t>
            </w:r>
            <w:r>
              <w:rPr>
                <w:rFonts w:ascii="Calibri" w:hAnsi="Calibri" w:eastAsia="仿宋" w:cs="Calibri"/>
              </w:rPr>
              <w:t>φ</w:t>
            </w:r>
            <w:r>
              <w:rPr>
                <w:rFonts w:hint="eastAsia" w:ascii="仿宋" w:hAnsi="仿宋" w:eastAsia="仿宋" w:cs="宋体"/>
              </w:rPr>
              <w:t>25mmPE管，末端PE细竖管安装喷头</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1200～1800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960"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农用地自动滴灌设施</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rPr>
            </w:pPr>
            <w:r>
              <w:rPr>
                <w:rFonts w:hint="eastAsia" w:ascii="仿宋" w:hAnsi="仿宋" w:eastAsia="仿宋" w:cs="宋体"/>
              </w:rPr>
              <w:t>布管稀疏，</w:t>
            </w:r>
            <w:r>
              <w:rPr>
                <w:rFonts w:ascii="Calibri" w:hAnsi="Calibri" w:eastAsia="仿宋" w:cs="Calibri"/>
              </w:rPr>
              <w:t>φ</w:t>
            </w:r>
            <w:r>
              <w:rPr>
                <w:rFonts w:hint="eastAsia" w:ascii="仿宋" w:hAnsi="仿宋" w:eastAsia="仿宋" w:cs="宋体"/>
              </w:rPr>
              <w:t>90或110mmPE供水主管，末端为</w:t>
            </w:r>
            <w:r>
              <w:rPr>
                <w:rFonts w:ascii="Calibri" w:hAnsi="Calibri" w:eastAsia="仿宋" w:cs="Calibri"/>
              </w:rPr>
              <w:t>φ</w:t>
            </w:r>
            <w:r>
              <w:rPr>
                <w:rFonts w:hint="eastAsia" w:ascii="仿宋" w:hAnsi="仿宋" w:eastAsia="仿宋" w:cs="宋体"/>
              </w:rPr>
              <w:t>25mmPE管或薄膜支管</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600～1000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960"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rPr>
            </w:pPr>
            <w:r>
              <w:rPr>
                <w:rFonts w:hint="eastAsia" w:ascii="仿宋" w:hAnsi="仿宋" w:eastAsia="仿宋" w:cs="宋体"/>
              </w:rPr>
              <w:t>布管稍密，</w:t>
            </w:r>
            <w:r>
              <w:rPr>
                <w:rFonts w:ascii="Calibri" w:hAnsi="Calibri" w:eastAsia="仿宋" w:cs="Calibri"/>
              </w:rPr>
              <w:t>φ</w:t>
            </w:r>
            <w:r>
              <w:rPr>
                <w:rFonts w:hint="eastAsia" w:ascii="仿宋" w:hAnsi="仿宋" w:eastAsia="仿宋" w:cs="宋体"/>
              </w:rPr>
              <w:t>90或110mmPVC供水主管，末端为</w:t>
            </w:r>
            <w:r>
              <w:rPr>
                <w:rFonts w:ascii="Calibri" w:hAnsi="Calibri" w:eastAsia="仿宋" w:cs="Calibri"/>
              </w:rPr>
              <w:t>φ</w:t>
            </w:r>
            <w:r>
              <w:rPr>
                <w:rFonts w:hint="eastAsia" w:ascii="仿宋" w:hAnsi="仿宋" w:eastAsia="仿宋" w:cs="宋体"/>
              </w:rPr>
              <w:t>25/32mmPE管或薄膜支管</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1000～1500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754"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自动打药系统</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rPr>
            </w:pPr>
            <w:r>
              <w:rPr>
                <w:rFonts w:hint="eastAsia" w:ascii="仿宋" w:hAnsi="仿宋" w:eastAsia="仿宋" w:cs="宋体"/>
              </w:rPr>
              <w:t>主管为</w:t>
            </w:r>
            <w:r>
              <w:rPr>
                <w:rFonts w:ascii="Calibri" w:hAnsi="Calibri" w:eastAsia="仿宋" w:cs="Calibri"/>
              </w:rPr>
              <w:t>φ</w:t>
            </w:r>
            <w:r>
              <w:rPr>
                <w:rFonts w:hint="eastAsia" w:ascii="仿宋" w:hAnsi="仿宋" w:eastAsia="仿宋" w:cs="宋体"/>
              </w:rPr>
              <w:t>75/90mmPE/PVC供水主管，末端为</w:t>
            </w:r>
            <w:r>
              <w:rPr>
                <w:rFonts w:ascii="Calibri" w:hAnsi="Calibri" w:eastAsia="仿宋" w:cs="Calibri"/>
              </w:rPr>
              <w:t>φ</w:t>
            </w:r>
            <w:r>
              <w:rPr>
                <w:rFonts w:hint="eastAsia" w:ascii="仿宋" w:hAnsi="仿宋" w:eastAsia="仿宋" w:cs="宋体"/>
              </w:rPr>
              <w:t>25mmPE管或PVC管</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800～1500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火龙果补光系统</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rPr>
            </w:pPr>
            <w:r>
              <w:rPr>
                <w:rFonts w:hint="eastAsia" w:ascii="仿宋" w:hAnsi="仿宋" w:eastAsia="仿宋" w:cs="宋体"/>
              </w:rPr>
              <w:t>控制中枢、分区控电箱，大规格铝芯或铜芯电缆，LED散光灯，间距适中</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亩</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3000～5000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14</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沟/渠</w:t>
            </w:r>
          </w:p>
        </w:tc>
        <w:tc>
          <w:tcPr>
            <w:tcW w:w="1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水利沟渠</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砌体</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指水渠两侧砌体</w:t>
            </w:r>
          </w:p>
        </w:tc>
        <w:tc>
          <w:tcPr>
            <w:tcW w:w="640" w:type="dxa"/>
            <w:shd w:val="clear" w:color="auto" w:fill="auto"/>
            <w:vAlign w:val="center"/>
          </w:tcPr>
          <w:p>
            <w:pPr>
              <w:kinsoku/>
              <w:autoSpaceDE/>
              <w:autoSpaceDN/>
              <w:adjustRightInd/>
              <w:snapToGrid/>
              <w:jc w:val="center"/>
              <w:textAlignment w:val="auto"/>
              <w:rPr>
                <w:rFonts w:hint="eastAsia" w:ascii="宋体" w:hAnsi="宋体" w:cs="宋体"/>
                <w:sz w:val="22"/>
                <w:szCs w:val="22"/>
              </w:rPr>
            </w:pPr>
            <w:r>
              <w:rPr>
                <w:rFonts w:hint="eastAsia" w:ascii="宋体" w:hAnsi="宋体" w:cs="宋体"/>
                <w:sz w:val="22"/>
                <w:szCs w:val="22"/>
              </w:rPr>
              <w:t>m³</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200～250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硬化</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指水渠底部硬化</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沟渠盖板</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水泥板</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自制水泥预制板</w:t>
            </w:r>
          </w:p>
        </w:tc>
        <w:tc>
          <w:tcPr>
            <w:tcW w:w="640" w:type="dxa"/>
            <w:shd w:val="clear" w:color="auto" w:fill="auto"/>
            <w:vAlign w:val="center"/>
          </w:tcPr>
          <w:p>
            <w:pPr>
              <w:kinsoku/>
              <w:autoSpaceDE/>
              <w:autoSpaceDN/>
              <w:adjustRightInd/>
              <w:snapToGrid/>
              <w:jc w:val="center"/>
              <w:textAlignment w:val="auto"/>
              <w:rPr>
                <w:rFonts w:hint="eastAsia" w:ascii="宋体" w:hAnsi="宋体" w:cs="宋体"/>
                <w:sz w:val="22"/>
                <w:szCs w:val="22"/>
              </w:rPr>
            </w:pPr>
            <w:r>
              <w:rPr>
                <w:rFonts w:hint="eastAsia" w:ascii="宋体" w:hAnsi="宋体" w:cs="宋体"/>
                <w:sz w:val="22"/>
                <w:szCs w:val="22"/>
              </w:rPr>
              <w:t>m³</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400～500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混凝土</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制式水渠盖板</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钢格板</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制式水渠盖板</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60～100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900" w:hRule="atLeas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迁坟</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骨坟</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1罐</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每多一罐增加500元，另在规定期限内签约的，奖励1000元/座</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座</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00"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肉坟</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3年以内</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规定期限内签约的，奖励3000元/座</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座</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00"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3年以上</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规定期限内签约的，奖励2000元/座</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座</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附属设施</w:t>
            </w: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砌体</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指以砖、石圈坟或挡土墙</w:t>
            </w:r>
          </w:p>
        </w:tc>
        <w:tc>
          <w:tcPr>
            <w:tcW w:w="640" w:type="dxa"/>
            <w:shd w:val="clear" w:color="auto" w:fill="auto"/>
            <w:vAlign w:val="center"/>
          </w:tcPr>
          <w:p>
            <w:pPr>
              <w:kinsoku/>
              <w:autoSpaceDE/>
              <w:autoSpaceDN/>
              <w:adjustRightInd/>
              <w:snapToGrid/>
              <w:jc w:val="center"/>
              <w:textAlignment w:val="auto"/>
              <w:rPr>
                <w:rFonts w:hint="eastAsia" w:ascii="宋体" w:hAnsi="宋体" w:cs="宋体"/>
                <w:sz w:val="22"/>
                <w:szCs w:val="22"/>
              </w:rPr>
            </w:pPr>
            <w:r>
              <w:rPr>
                <w:rFonts w:hint="eastAsia" w:ascii="宋体" w:hAnsi="宋体" w:cs="宋体"/>
                <w:sz w:val="22"/>
                <w:szCs w:val="22"/>
              </w:rPr>
              <w:t>m³</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8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墓碑</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以大理石雕刻</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800～1200</w:t>
            </w:r>
          </w:p>
        </w:tc>
      </w:tr>
      <w:bookmarkEnd w:id="2"/>
    </w:tbl>
    <w:p>
      <w:pPr>
        <w:pStyle w:val="2"/>
        <w:spacing w:line="480" w:lineRule="exact"/>
        <w:ind w:firstLine="560" w:firstLineChars="200"/>
        <w:jc w:val="both"/>
        <w:rPr>
          <w:rFonts w:hint="eastAsia" w:cs="仿宋_GB2312"/>
          <w:b/>
          <w:bCs/>
          <w:color w:val="000000" w:themeColor="text1"/>
          <w:sz w:val="28"/>
          <w:szCs w:val="28"/>
          <w:lang w:eastAsia="zh-CN"/>
          <w14:textFill>
            <w14:solidFill>
              <w14:schemeClr w14:val="tx1"/>
            </w14:solidFill>
          </w14:textFill>
        </w:rPr>
      </w:pPr>
      <w:bookmarkStart w:id="3" w:name="_Hlk200962263"/>
      <w:r>
        <w:rPr>
          <w:rFonts w:hint="eastAsia" w:cs="仿宋_GB2312"/>
          <w:color w:val="000000" w:themeColor="text1"/>
          <w:sz w:val="28"/>
          <w:szCs w:val="28"/>
          <w:lang w:eastAsia="zh-CN"/>
          <w14:textFill>
            <w14:solidFill>
              <w14:schemeClr w14:val="tx1"/>
            </w14:solidFill>
          </w14:textFill>
        </w:rPr>
        <w:t>项目建设用地范围坟墓迁移，属坟墓权属人自行迁移的，按上述标准给予补偿，</w:t>
      </w:r>
      <w:r>
        <w:rPr>
          <w:rFonts w:hint="eastAsia" w:cs="仿宋_GB2312"/>
          <w:b/>
          <w:bCs/>
          <w:color w:val="000000" w:themeColor="text1"/>
          <w:sz w:val="28"/>
          <w:szCs w:val="28"/>
          <w:lang w:eastAsia="zh-CN"/>
          <w14:textFill>
            <w14:solidFill>
              <w14:schemeClr w14:val="tx1"/>
            </w14:solidFill>
          </w14:textFill>
        </w:rPr>
        <w:t>不属于上述标准坟墓类型的，按下述标准给</w:t>
      </w:r>
      <w:bookmarkStart w:id="8" w:name="_GoBack"/>
      <w:r>
        <w:rPr>
          <w:rFonts w:hint="eastAsia" w:cs="仿宋_GB2312"/>
          <w:b/>
          <w:bCs/>
          <w:color w:val="000000" w:themeColor="text1"/>
          <w:sz w:val="28"/>
          <w:szCs w:val="28"/>
          <w:lang w:eastAsia="zh-CN"/>
          <w14:textFill>
            <w14:solidFill>
              <w14:schemeClr w14:val="tx1"/>
            </w14:solidFill>
          </w14:textFill>
        </w:rPr>
        <w:t>予</w:t>
      </w:r>
      <w:bookmarkEnd w:id="8"/>
      <w:r>
        <w:rPr>
          <w:rFonts w:hint="eastAsia" w:cs="仿宋_GB2312"/>
          <w:b/>
          <w:bCs/>
          <w:color w:val="000000" w:themeColor="text1"/>
          <w:sz w:val="28"/>
          <w:szCs w:val="28"/>
          <w:lang w:eastAsia="zh-CN"/>
          <w14:textFill>
            <w14:solidFill>
              <w14:schemeClr w14:val="tx1"/>
            </w14:solidFill>
          </w14:textFill>
        </w:rPr>
        <w:t>补偿：</w:t>
      </w:r>
    </w:p>
    <w:p>
      <w:pPr>
        <w:pStyle w:val="2"/>
        <w:spacing w:line="480" w:lineRule="exact"/>
        <w:ind w:firstLine="560" w:firstLineChars="200"/>
        <w:jc w:val="both"/>
        <w:rPr>
          <w:rFonts w:hint="eastAsia" w:cs="仿宋_GB2312"/>
          <w:color w:val="000000" w:themeColor="text1"/>
          <w:sz w:val="28"/>
          <w:szCs w:val="28"/>
          <w:lang w:eastAsia="zh-CN"/>
          <w14:textFill>
            <w14:solidFill>
              <w14:schemeClr w14:val="tx1"/>
            </w14:solidFill>
          </w14:textFill>
        </w:rPr>
      </w:pPr>
      <w:r>
        <w:rPr>
          <w:rFonts w:hint="eastAsia" w:cs="仿宋_GB2312"/>
          <w:color w:val="000000" w:themeColor="text1"/>
          <w:sz w:val="28"/>
          <w:szCs w:val="28"/>
          <w:lang w:eastAsia="zh-CN"/>
          <w14:textFill>
            <w14:solidFill>
              <w14:schemeClr w14:val="tx1"/>
            </w14:solidFill>
          </w14:textFill>
        </w:rPr>
        <w:t>1.不分骨坟和肉坟的砌砖坟(俗称“大葬”坟),分别参照肉坟和骨坟标准补偿，大于2罐的，按骨坟增加罐体标准补偿，其墓碑和其他补偿或奖励参照附属设施标准。</w:t>
      </w:r>
    </w:p>
    <w:p>
      <w:pPr>
        <w:pStyle w:val="2"/>
        <w:spacing w:line="480" w:lineRule="exact"/>
        <w:ind w:firstLine="560" w:firstLineChars="200"/>
        <w:jc w:val="both"/>
        <w:rPr>
          <w:rFonts w:hint="eastAsia" w:cs="仿宋_GB2312"/>
          <w:color w:val="000000" w:themeColor="text1"/>
          <w:sz w:val="28"/>
          <w:szCs w:val="28"/>
          <w:lang w:eastAsia="zh-CN"/>
          <w14:textFill>
            <w14:solidFill>
              <w14:schemeClr w14:val="tx1"/>
            </w14:solidFill>
          </w14:textFill>
        </w:rPr>
      </w:pPr>
      <w:r>
        <w:rPr>
          <w:rFonts w:hint="eastAsia" w:cs="仿宋_GB2312"/>
          <w:color w:val="000000" w:themeColor="text1"/>
          <w:sz w:val="28"/>
          <w:szCs w:val="28"/>
          <w:lang w:eastAsia="zh-CN"/>
          <w14:textFill>
            <w14:solidFill>
              <w14:schemeClr w14:val="tx1"/>
            </w14:solidFill>
          </w14:textFill>
        </w:rPr>
        <w:t>2.已由文物部门鉴定，向社会公告，受国家保护的具有历史、 艺术、科研价值的坟墓，其迁移费用由相关部门共同核定。无主坟迁移费用据实纳入征地成本。</w:t>
      </w:r>
      <w:bookmarkEnd w:id="3"/>
    </w:p>
    <w:p>
      <w:pPr>
        <w:pStyle w:val="2"/>
        <w:spacing w:line="560" w:lineRule="exact"/>
        <w:jc w:val="both"/>
        <w:rPr>
          <w:rFonts w:cs="仿宋_GB2312"/>
          <w:b/>
          <w:bCs/>
          <w:sz w:val="28"/>
          <w:szCs w:val="28"/>
          <w:lang w:eastAsia="zh-CN"/>
        </w:rPr>
      </w:pPr>
      <w:bookmarkStart w:id="4" w:name="_Hlk200962331"/>
      <w:r>
        <w:rPr>
          <w:rFonts w:hint="eastAsia" w:cs="仿宋_GB2312"/>
          <w:b/>
          <w:bCs/>
          <w:sz w:val="28"/>
          <w:szCs w:val="28"/>
          <w:lang w:eastAsia="zh-CN"/>
        </w:rPr>
        <w:t>（二）电力杆线类补偿标准</w:t>
      </w:r>
    </w:p>
    <w:p>
      <w:pPr>
        <w:pStyle w:val="2"/>
        <w:spacing w:line="480" w:lineRule="exact"/>
        <w:jc w:val="center"/>
        <w:rPr>
          <w:rFonts w:hint="eastAsia" w:cs="仿宋_GB2312"/>
          <w:b/>
          <w:bCs/>
          <w:sz w:val="28"/>
          <w:szCs w:val="28"/>
          <w:lang w:eastAsia="zh-CN"/>
        </w:rPr>
      </w:pPr>
      <w:r>
        <w:rPr>
          <w:rFonts w:hint="eastAsia" w:cs="宋体"/>
          <w:b/>
          <w:bCs/>
          <w:sz w:val="24"/>
          <w:szCs w:val="24"/>
          <w:lang w:eastAsia="zh-CN"/>
        </w:rPr>
        <w:t>表11   集体土地上其他构筑物（电力杆线）标准表</w:t>
      </w:r>
    </w:p>
    <w:bookmarkEnd w:id="4"/>
    <w:tbl>
      <w:tblPr>
        <w:tblStyle w:val="5"/>
        <w:tblW w:w="9290" w:type="dxa"/>
        <w:tblInd w:w="11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57" w:type="dxa"/>
          <w:bottom w:w="0" w:type="dxa"/>
          <w:right w:w="57" w:type="dxa"/>
        </w:tblCellMar>
      </w:tblPr>
      <w:tblGrid>
        <w:gridCol w:w="540"/>
        <w:gridCol w:w="940"/>
        <w:gridCol w:w="1583"/>
        <w:gridCol w:w="567"/>
        <w:gridCol w:w="2960"/>
        <w:gridCol w:w="640"/>
        <w:gridCol w:w="700"/>
        <w:gridCol w:w="13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30" w:hRule="atLeast"/>
          <w:tblHeader/>
        </w:trPr>
        <w:tc>
          <w:tcPr>
            <w:tcW w:w="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bookmarkStart w:id="5" w:name="_Hlk200962365"/>
            <w:r>
              <w:rPr>
                <w:rFonts w:hint="eastAsia" w:ascii="仿宋" w:hAnsi="仿宋" w:eastAsia="仿宋" w:cs="宋体"/>
                <w:sz w:val="22"/>
                <w:szCs w:val="22"/>
              </w:rPr>
              <w:t>序号</w:t>
            </w:r>
          </w:p>
        </w:tc>
        <w:tc>
          <w:tcPr>
            <w:tcW w:w="2523" w:type="dxa"/>
            <w:gridSpan w:val="2"/>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补偿项目</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规格</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说明</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单位</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备注</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补偿标准（元）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木杆类</w:t>
            </w:r>
          </w:p>
        </w:tc>
        <w:tc>
          <w:tcPr>
            <w:tcW w:w="1583"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3米木杆线</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根</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4-6米木杆线</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根</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7-8米木杆</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根</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水泥杆线</w:t>
            </w:r>
          </w:p>
        </w:tc>
        <w:tc>
          <w:tcPr>
            <w:tcW w:w="1583"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4-7米水泥杆线</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根</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350～450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8米水泥杆线</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8m</w:t>
            </w:r>
            <w:r>
              <w:rPr>
                <w:rFonts w:ascii="Calibri" w:hAnsi="Calibri" w:eastAsia="仿宋" w:cs="Calibri"/>
                <w:sz w:val="22"/>
                <w:szCs w:val="22"/>
              </w:rPr>
              <w:t>Φ</w:t>
            </w:r>
            <w:r>
              <w:rPr>
                <w:rFonts w:hint="eastAsia" w:ascii="仿宋" w:hAnsi="仿宋" w:eastAsia="仿宋" w:cs="宋体"/>
                <w:sz w:val="22"/>
                <w:szCs w:val="22"/>
              </w:rPr>
              <w:t>150/256，7</w:t>
            </w:r>
            <w:r>
              <w:rPr>
                <w:rFonts w:ascii="Calibri" w:hAnsi="Calibri" w:eastAsia="仿宋" w:cs="Calibri"/>
                <w:sz w:val="22"/>
                <w:szCs w:val="22"/>
              </w:rPr>
              <w:t>Φ</w:t>
            </w:r>
            <w:r>
              <w:rPr>
                <w:rFonts w:hint="eastAsia" w:ascii="仿宋" w:hAnsi="仿宋" w:eastAsia="仿宋" w:cs="宋体"/>
                <w:sz w:val="22"/>
                <w:szCs w:val="22"/>
              </w:rPr>
              <w:t>S4.8</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根</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10米水泥杆线</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10m</w:t>
            </w:r>
            <w:r>
              <w:rPr>
                <w:rFonts w:ascii="Calibri" w:hAnsi="Calibri" w:eastAsia="仿宋" w:cs="Calibri"/>
                <w:sz w:val="22"/>
                <w:szCs w:val="22"/>
              </w:rPr>
              <w:t>Φ</w:t>
            </w:r>
            <w:r>
              <w:rPr>
                <w:rFonts w:hint="eastAsia" w:ascii="仿宋" w:hAnsi="仿宋" w:eastAsia="仿宋" w:cs="宋体"/>
                <w:sz w:val="22"/>
                <w:szCs w:val="22"/>
              </w:rPr>
              <w:t>150/283，10</w:t>
            </w:r>
            <w:r>
              <w:rPr>
                <w:rFonts w:ascii="Calibri" w:hAnsi="Calibri" w:eastAsia="仿宋" w:cs="Calibri"/>
                <w:sz w:val="22"/>
                <w:szCs w:val="22"/>
              </w:rPr>
              <w:t>Φ</w:t>
            </w:r>
            <w:r>
              <w:rPr>
                <w:rFonts w:hint="eastAsia" w:ascii="仿宋" w:hAnsi="仿宋" w:eastAsia="仿宋" w:cs="宋体"/>
                <w:sz w:val="22"/>
                <w:szCs w:val="22"/>
              </w:rPr>
              <w:t>S4.8</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根</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12米水泥杆线</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12m</w:t>
            </w:r>
            <w:r>
              <w:rPr>
                <w:rFonts w:ascii="Calibri" w:hAnsi="Calibri" w:eastAsia="仿宋" w:cs="Calibri"/>
                <w:sz w:val="22"/>
                <w:szCs w:val="22"/>
              </w:rPr>
              <w:t>Φ</w:t>
            </w:r>
            <w:r>
              <w:rPr>
                <w:rFonts w:hint="eastAsia" w:ascii="仿宋" w:hAnsi="仿宋" w:eastAsia="仿宋" w:cs="宋体"/>
                <w:sz w:val="22"/>
                <w:szCs w:val="22"/>
              </w:rPr>
              <w:t>190/350，16</w:t>
            </w:r>
            <w:r>
              <w:rPr>
                <w:rFonts w:ascii="Calibri" w:hAnsi="Calibri" w:eastAsia="仿宋" w:cs="Calibri"/>
                <w:sz w:val="22"/>
                <w:szCs w:val="22"/>
              </w:rPr>
              <w:t>Φ</w:t>
            </w:r>
            <w:r>
              <w:rPr>
                <w:rFonts w:hint="eastAsia" w:ascii="仿宋" w:hAnsi="仿宋" w:eastAsia="仿宋" w:cs="宋体"/>
                <w:sz w:val="22"/>
                <w:szCs w:val="22"/>
              </w:rPr>
              <w:t>S4.8</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根</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00"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15米水泥杆线</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焊接，9m</w:t>
            </w:r>
            <w:r>
              <w:rPr>
                <w:rFonts w:ascii="Calibri" w:hAnsi="Calibri" w:eastAsia="仿宋" w:cs="Calibri"/>
                <w:sz w:val="22"/>
                <w:szCs w:val="22"/>
              </w:rPr>
              <w:t>Φ</w:t>
            </w:r>
            <w:r>
              <w:rPr>
                <w:rFonts w:hint="eastAsia" w:ascii="仿宋" w:hAnsi="仿宋" w:eastAsia="仿宋" w:cs="宋体"/>
                <w:sz w:val="22"/>
                <w:szCs w:val="22"/>
              </w:rPr>
              <w:t>190/310，12</w:t>
            </w:r>
            <w:r>
              <w:rPr>
                <w:rFonts w:ascii="Calibri" w:hAnsi="Calibri" w:eastAsia="仿宋" w:cs="Calibri"/>
                <w:sz w:val="22"/>
                <w:szCs w:val="22"/>
              </w:rPr>
              <w:t>Φ</w:t>
            </w:r>
            <w:r>
              <w:rPr>
                <w:rFonts w:hint="eastAsia" w:ascii="仿宋" w:hAnsi="仿宋" w:eastAsia="仿宋" w:cs="宋体"/>
                <w:sz w:val="22"/>
                <w:szCs w:val="22"/>
              </w:rPr>
              <w:t>S6上 6m</w:t>
            </w:r>
            <w:r>
              <w:rPr>
                <w:rFonts w:ascii="Calibri" w:hAnsi="Calibri" w:eastAsia="仿宋" w:cs="Calibri"/>
                <w:sz w:val="22"/>
                <w:szCs w:val="22"/>
              </w:rPr>
              <w:t>Φ</w:t>
            </w:r>
            <w:r>
              <w:rPr>
                <w:rFonts w:hint="eastAsia" w:ascii="仿宋" w:hAnsi="仿宋" w:eastAsia="仿宋" w:cs="宋体"/>
                <w:sz w:val="22"/>
                <w:szCs w:val="22"/>
              </w:rPr>
              <w:t>310/390，14</w:t>
            </w:r>
            <w:r>
              <w:rPr>
                <w:rFonts w:ascii="Calibri" w:hAnsi="Calibri" w:eastAsia="仿宋" w:cs="Calibri"/>
                <w:sz w:val="22"/>
                <w:szCs w:val="22"/>
              </w:rPr>
              <w:t>Φ</w:t>
            </w:r>
            <w:r>
              <w:rPr>
                <w:rFonts w:hint="eastAsia" w:ascii="仿宋" w:hAnsi="仿宋" w:eastAsia="仿宋" w:cs="宋体"/>
                <w:sz w:val="22"/>
                <w:szCs w:val="22"/>
              </w:rPr>
              <w:t>S6下</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根</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导线类</w:t>
            </w:r>
          </w:p>
        </w:tc>
        <w:tc>
          <w:tcPr>
            <w:tcW w:w="1583"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低压铝芯聚氯乙烯绝缘电线</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BLV-4m㎡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BLV-6m㎡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BLV-10m㎡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BLV-16m㎡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BLV-25m㎡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BLV-35m㎡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BLV-50m㎡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BLV-70m㎡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BLV-95m㎡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低压铜芯聚氯乙烯绝缘电线</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BLV-1.5m㎡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BLV-2.5m㎡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BLV-4m㎡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BLV-6m㎡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BLV-10m㎡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BLV-16m㎡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BLV-25m㎡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BLV-35m㎡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BLV-50m㎡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穿线管</w:t>
            </w:r>
          </w:p>
        </w:tc>
        <w:tc>
          <w:tcPr>
            <w:tcW w:w="1583"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PVC穿线管</w:t>
            </w: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16mm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20mm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25mm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32mm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40mm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2" w:hRule="atLeast"/>
        </w:trPr>
        <w:tc>
          <w:tcPr>
            <w:tcW w:w="5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83"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567"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29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50mm</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3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w:t>
            </w:r>
          </w:p>
        </w:tc>
      </w:tr>
      <w:bookmarkEnd w:id="5"/>
    </w:tbl>
    <w:p>
      <w:pPr>
        <w:pStyle w:val="2"/>
        <w:spacing w:line="560" w:lineRule="exact"/>
        <w:jc w:val="both"/>
        <w:rPr>
          <w:rFonts w:cs="仿宋_GB2312"/>
          <w:b/>
          <w:bCs/>
          <w:sz w:val="28"/>
          <w:szCs w:val="28"/>
          <w:lang w:eastAsia="zh-CN"/>
        </w:rPr>
      </w:pPr>
      <w:bookmarkStart w:id="6" w:name="_Hlk200962380"/>
      <w:r>
        <w:rPr>
          <w:rFonts w:hint="eastAsia" w:cs="仿宋_GB2312"/>
          <w:b/>
          <w:bCs/>
          <w:sz w:val="28"/>
          <w:szCs w:val="28"/>
          <w:lang w:eastAsia="zh-CN"/>
        </w:rPr>
        <w:t>（三）管材类补偿标准</w:t>
      </w:r>
    </w:p>
    <w:p>
      <w:pPr>
        <w:pStyle w:val="2"/>
        <w:spacing w:line="480" w:lineRule="exact"/>
        <w:jc w:val="center"/>
        <w:rPr>
          <w:rFonts w:hint="eastAsia" w:cs="仿宋_GB2312"/>
          <w:b/>
          <w:bCs/>
          <w:sz w:val="28"/>
          <w:szCs w:val="28"/>
          <w:lang w:eastAsia="zh-CN"/>
        </w:rPr>
      </w:pPr>
      <w:r>
        <w:rPr>
          <w:rFonts w:hint="eastAsia" w:cs="宋体"/>
          <w:b/>
          <w:bCs/>
          <w:sz w:val="24"/>
          <w:szCs w:val="24"/>
          <w:lang w:eastAsia="zh-CN"/>
        </w:rPr>
        <w:t>表12   集体土地上其他构筑物（管材类）标准表</w:t>
      </w:r>
    </w:p>
    <w:bookmarkEnd w:id="6"/>
    <w:tbl>
      <w:tblPr>
        <w:tblStyle w:val="5"/>
        <w:tblW w:w="8920" w:type="dxa"/>
        <w:tblInd w:w="11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57" w:type="dxa"/>
          <w:bottom w:w="0" w:type="dxa"/>
          <w:right w:w="57" w:type="dxa"/>
        </w:tblCellMar>
      </w:tblPr>
      <w:tblGrid>
        <w:gridCol w:w="640"/>
        <w:gridCol w:w="940"/>
        <w:gridCol w:w="1180"/>
        <w:gridCol w:w="1220"/>
        <w:gridCol w:w="2060"/>
        <w:gridCol w:w="640"/>
        <w:gridCol w:w="700"/>
        <w:gridCol w:w="15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0" w:hRule="atLeast"/>
          <w:tblHeader/>
        </w:trPr>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bookmarkStart w:id="7" w:name="_Hlk200962402"/>
            <w:r>
              <w:rPr>
                <w:rFonts w:hint="eastAsia" w:ascii="仿宋" w:hAnsi="仿宋" w:eastAsia="仿宋" w:cs="宋体"/>
                <w:sz w:val="22"/>
                <w:szCs w:val="22"/>
              </w:rPr>
              <w:t>序号</w:t>
            </w:r>
          </w:p>
        </w:tc>
        <w:tc>
          <w:tcPr>
            <w:tcW w:w="2120" w:type="dxa"/>
            <w:gridSpan w:val="2"/>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补偿项目</w:t>
            </w:r>
          </w:p>
        </w:tc>
        <w:tc>
          <w:tcPr>
            <w:tcW w:w="122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规格</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说明</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单位</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备注</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补偿标准(元)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管材类</w:t>
            </w:r>
          </w:p>
        </w:tc>
        <w:tc>
          <w:tcPr>
            <w:tcW w:w="118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PP-R/PE供水管</w:t>
            </w: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25mm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国标1.25Kpa</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含配件</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32mm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国标1.25Kpa</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40mm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国标1.25Kpa</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50mm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国标1.25Kpa</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63mm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国标1.25Kpa</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75mm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国标1.25Kpa</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90mm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国标1.25Kpa</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110mm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国标1.25Kpa</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70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PVC排水/污管</w:t>
            </w: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32mm</w:t>
            </w:r>
          </w:p>
        </w:tc>
        <w:tc>
          <w:tcPr>
            <w:tcW w:w="20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含配件</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40mm</w:t>
            </w:r>
          </w:p>
        </w:tc>
        <w:tc>
          <w:tcPr>
            <w:tcW w:w="20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50mm</w:t>
            </w:r>
          </w:p>
        </w:tc>
        <w:tc>
          <w:tcPr>
            <w:tcW w:w="20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75mm</w:t>
            </w:r>
          </w:p>
        </w:tc>
        <w:tc>
          <w:tcPr>
            <w:tcW w:w="20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110mm</w:t>
            </w:r>
          </w:p>
        </w:tc>
        <w:tc>
          <w:tcPr>
            <w:tcW w:w="20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160mm</w:t>
            </w:r>
          </w:p>
        </w:tc>
        <w:tc>
          <w:tcPr>
            <w:tcW w:w="20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200mm</w:t>
            </w:r>
          </w:p>
        </w:tc>
        <w:tc>
          <w:tcPr>
            <w:tcW w:w="20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钢管</w:t>
            </w:r>
          </w:p>
        </w:tc>
        <w:tc>
          <w:tcPr>
            <w:tcW w:w="118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薄壁钢管</w:t>
            </w: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16mm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20mm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25mm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32mm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40mm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50mm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镀锌钢管</w:t>
            </w: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15mm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20mm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25mm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32mm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40mm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50mm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65mm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80mm</w:t>
            </w:r>
          </w:p>
        </w:tc>
        <w:tc>
          <w:tcPr>
            <w:tcW w:w="206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排水管</w:t>
            </w:r>
          </w:p>
        </w:tc>
        <w:tc>
          <w:tcPr>
            <w:tcW w:w="118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钢筋混凝土排水管</w:t>
            </w: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300mm</w:t>
            </w:r>
          </w:p>
        </w:tc>
        <w:tc>
          <w:tcPr>
            <w:tcW w:w="20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400mm</w:t>
            </w:r>
          </w:p>
        </w:tc>
        <w:tc>
          <w:tcPr>
            <w:tcW w:w="20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500mm</w:t>
            </w:r>
          </w:p>
        </w:tc>
        <w:tc>
          <w:tcPr>
            <w:tcW w:w="20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600mm</w:t>
            </w:r>
          </w:p>
        </w:tc>
        <w:tc>
          <w:tcPr>
            <w:tcW w:w="20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69"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800mm</w:t>
            </w:r>
          </w:p>
        </w:tc>
        <w:tc>
          <w:tcPr>
            <w:tcW w:w="20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120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6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w:t>
            </w:r>
          </w:p>
        </w:tc>
        <w:tc>
          <w:tcPr>
            <w:tcW w:w="94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软管</w:t>
            </w:r>
          </w:p>
        </w:tc>
        <w:tc>
          <w:tcPr>
            <w:tcW w:w="1180" w:type="dxa"/>
            <w:vMerge w:val="restart"/>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塑料软管</w:t>
            </w: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16mm</w:t>
            </w:r>
          </w:p>
        </w:tc>
        <w:tc>
          <w:tcPr>
            <w:tcW w:w="20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20mm</w:t>
            </w:r>
          </w:p>
        </w:tc>
        <w:tc>
          <w:tcPr>
            <w:tcW w:w="20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25mm</w:t>
            </w:r>
          </w:p>
        </w:tc>
        <w:tc>
          <w:tcPr>
            <w:tcW w:w="20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32mm</w:t>
            </w:r>
          </w:p>
        </w:tc>
        <w:tc>
          <w:tcPr>
            <w:tcW w:w="20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7" w:hRule="exact"/>
        </w:trPr>
        <w:tc>
          <w:tcPr>
            <w:tcW w:w="6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94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180" w:type="dxa"/>
            <w:vMerge w:val="continue"/>
            <w:vAlign w:val="center"/>
          </w:tcPr>
          <w:p>
            <w:pPr>
              <w:kinsoku/>
              <w:autoSpaceDE/>
              <w:autoSpaceDN/>
              <w:adjustRightInd/>
              <w:snapToGrid/>
              <w:textAlignment w:val="auto"/>
              <w:rPr>
                <w:rFonts w:hint="eastAsia" w:ascii="仿宋" w:hAnsi="仿宋" w:eastAsia="仿宋" w:cs="宋体"/>
                <w:sz w:val="22"/>
                <w:szCs w:val="22"/>
              </w:rPr>
            </w:pPr>
          </w:p>
        </w:tc>
        <w:tc>
          <w:tcPr>
            <w:tcW w:w="122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φ</w:t>
            </w:r>
            <w:r>
              <w:rPr>
                <w:rFonts w:hint="eastAsia" w:ascii="仿宋" w:hAnsi="仿宋" w:eastAsia="仿宋" w:cs="Calibri"/>
                <w:sz w:val="22"/>
                <w:szCs w:val="22"/>
              </w:rPr>
              <w:t>40mm</w:t>
            </w:r>
          </w:p>
        </w:tc>
        <w:tc>
          <w:tcPr>
            <w:tcW w:w="2060" w:type="dxa"/>
            <w:shd w:val="clear" w:color="auto" w:fill="auto"/>
            <w:vAlign w:val="center"/>
          </w:tcPr>
          <w:p>
            <w:pPr>
              <w:kinsoku/>
              <w:autoSpaceDE/>
              <w:autoSpaceDN/>
              <w:adjustRightInd/>
              <w:snapToGrid/>
              <w:jc w:val="center"/>
              <w:textAlignment w:val="auto"/>
              <w:rPr>
                <w:rFonts w:ascii="Calibri" w:hAnsi="Calibri" w:eastAsia="等线" w:cs="Calibri"/>
                <w:sz w:val="22"/>
                <w:szCs w:val="22"/>
              </w:rPr>
            </w:pPr>
            <w:r>
              <w:rPr>
                <w:rFonts w:ascii="Calibri" w:hAnsi="Calibri" w:eastAsia="等线" w:cs="Calibri"/>
                <w:sz w:val="22"/>
                <w:szCs w:val="22"/>
              </w:rPr>
              <w:t>　</w:t>
            </w:r>
          </w:p>
        </w:tc>
        <w:tc>
          <w:tcPr>
            <w:tcW w:w="6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m</w:t>
            </w:r>
          </w:p>
        </w:tc>
        <w:tc>
          <w:tcPr>
            <w:tcW w:w="70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w:t>
            </w:r>
          </w:p>
        </w:tc>
        <w:tc>
          <w:tcPr>
            <w:tcW w:w="1540" w:type="dxa"/>
            <w:shd w:val="clear" w:color="auto" w:fill="auto"/>
            <w:vAlign w:val="center"/>
          </w:tcPr>
          <w:p>
            <w:pPr>
              <w:kinsoku/>
              <w:autoSpaceDE/>
              <w:autoSpaceDN/>
              <w:adjustRightInd/>
              <w:snapToGrid/>
              <w:jc w:val="center"/>
              <w:textAlignment w:val="auto"/>
              <w:rPr>
                <w:rFonts w:hint="eastAsia" w:ascii="仿宋" w:hAnsi="仿宋" w:eastAsia="仿宋" w:cs="宋体"/>
                <w:sz w:val="22"/>
                <w:szCs w:val="22"/>
              </w:rPr>
            </w:pPr>
            <w:r>
              <w:rPr>
                <w:rFonts w:hint="eastAsia" w:ascii="仿宋" w:hAnsi="仿宋" w:eastAsia="仿宋" w:cs="宋体"/>
                <w:sz w:val="22"/>
                <w:szCs w:val="22"/>
              </w:rPr>
              <w:t>8</w:t>
            </w:r>
          </w:p>
        </w:tc>
      </w:tr>
      <w:bookmarkEnd w:id="7"/>
    </w:tbl>
    <w:p>
      <w:pPr>
        <w:pStyle w:val="2"/>
        <w:spacing w:line="560" w:lineRule="exact"/>
        <w:ind w:firstLine="579" w:firstLineChars="200"/>
        <w:jc w:val="both"/>
        <w:rPr>
          <w:rFonts w:hint="eastAsia" w:cs="仿宋_GB2312"/>
          <w:sz w:val="32"/>
          <w:szCs w:val="32"/>
          <w:lang w:eastAsia="zh-CN"/>
        </w:rPr>
      </w:pPr>
      <w:r>
        <w:rPr>
          <w:rFonts w:hint="eastAsia" w:cs="仿宋_GB2312"/>
          <w:b/>
          <w:bCs/>
          <w:spacing w:val="-16"/>
          <w:sz w:val="32"/>
          <w:szCs w:val="32"/>
          <w:lang w:eastAsia="zh-CN"/>
        </w:rPr>
        <w:t>七、签约奖励</w:t>
      </w:r>
    </w:p>
    <w:p>
      <w:pPr>
        <w:pStyle w:val="2"/>
        <w:spacing w:line="560" w:lineRule="exact"/>
        <w:ind w:firstLine="604" w:firstLineChars="200"/>
        <w:jc w:val="both"/>
        <w:rPr>
          <w:rFonts w:hint="eastAsia" w:cs="仿宋_GB2312"/>
          <w:color w:val="000000" w:themeColor="text1"/>
          <w:spacing w:val="-7"/>
          <w:sz w:val="32"/>
          <w:szCs w:val="32"/>
          <w:lang w:eastAsia="zh-CN"/>
          <w14:textFill>
            <w14:solidFill>
              <w14:schemeClr w14:val="tx1"/>
            </w14:solidFill>
          </w14:textFill>
        </w:rPr>
      </w:pPr>
      <w:r>
        <w:rPr>
          <w:rFonts w:hint="eastAsia" w:cs="仿宋_GB2312"/>
          <w:color w:val="000000" w:themeColor="text1"/>
          <w:spacing w:val="-9"/>
          <w:sz w:val="32"/>
          <w:szCs w:val="32"/>
          <w:lang w:eastAsia="zh-CN"/>
          <w14:textFill>
            <w14:solidFill>
              <w14:schemeClr w14:val="tx1"/>
            </w14:solidFill>
          </w14:textFill>
        </w:rPr>
        <w:t>(一)征收土地范围内坟墓权属人（一般族坟）在规定期限内签订坟墓迁</w:t>
      </w:r>
      <w:r>
        <w:rPr>
          <w:rFonts w:hint="eastAsia" w:cs="仿宋_GB2312"/>
          <w:color w:val="000000" w:themeColor="text1"/>
          <w:spacing w:val="-4"/>
          <w:sz w:val="32"/>
          <w:szCs w:val="32"/>
          <w:lang w:eastAsia="zh-CN"/>
          <w14:textFill>
            <w14:solidFill>
              <w14:schemeClr w14:val="tx1"/>
            </w14:solidFill>
          </w14:textFill>
        </w:rPr>
        <w:t>移协议，并积极按时自行迁移的，可按迁坟的补偿标准每</w:t>
      </w:r>
      <w:r>
        <w:rPr>
          <w:rFonts w:hint="eastAsia" w:cs="仿宋_GB2312"/>
          <w:color w:val="000000" w:themeColor="text1"/>
          <w:spacing w:val="-7"/>
          <w:sz w:val="32"/>
          <w:szCs w:val="32"/>
          <w:lang w:eastAsia="zh-CN"/>
          <w14:textFill>
            <w14:solidFill>
              <w14:schemeClr w14:val="tx1"/>
            </w14:solidFill>
          </w14:textFill>
        </w:rPr>
        <w:t>座给予0.5～1倍奖励。</w:t>
      </w:r>
    </w:p>
    <w:p>
      <w:pPr>
        <w:pStyle w:val="2"/>
        <w:spacing w:line="560" w:lineRule="exact"/>
        <w:ind w:firstLine="644" w:firstLineChars="200"/>
        <w:jc w:val="both"/>
        <w:rPr>
          <w:rFonts w:hint="eastAsia" w:cs="仿宋_GB2312"/>
          <w:color w:val="000000" w:themeColor="text1"/>
          <w:sz w:val="32"/>
          <w:szCs w:val="32"/>
          <w:lang w:eastAsia="zh-CN"/>
          <w14:textFill>
            <w14:solidFill>
              <w14:schemeClr w14:val="tx1"/>
            </w14:solidFill>
          </w14:textFill>
        </w:rPr>
      </w:pPr>
      <w:r>
        <w:rPr>
          <w:rFonts w:hint="eastAsia" w:cs="仿宋_GB2312"/>
          <w:color w:val="000000" w:themeColor="text1"/>
          <w:spacing w:val="1"/>
          <w:sz w:val="32"/>
          <w:szCs w:val="32"/>
          <w:lang w:eastAsia="zh-CN"/>
          <w14:textFill>
            <w14:solidFill>
              <w14:schemeClr w14:val="tx1"/>
            </w14:solidFill>
          </w14:textFill>
        </w:rPr>
        <w:t>(二)征收土地范围内的房屋拆迁，权利人在规定期限内签</w:t>
      </w:r>
      <w:r>
        <w:rPr>
          <w:rFonts w:hint="eastAsia" w:cs="仿宋_GB2312"/>
          <w:color w:val="000000" w:themeColor="text1"/>
          <w:spacing w:val="-5"/>
          <w:sz w:val="32"/>
          <w:szCs w:val="32"/>
          <w:lang w:eastAsia="zh-CN"/>
          <w14:textFill>
            <w14:solidFill>
              <w14:schemeClr w14:val="tx1"/>
            </w14:solidFill>
          </w14:textFill>
        </w:rPr>
        <w:t>订《房屋拆迁补偿协议》并积极配合按时拆迁的可按评估房屋拆迁补</w:t>
      </w:r>
      <w:r>
        <w:rPr>
          <w:rFonts w:hint="eastAsia" w:cs="仿宋_GB2312"/>
          <w:color w:val="000000" w:themeColor="text1"/>
          <w:spacing w:val="15"/>
          <w:sz w:val="32"/>
          <w:szCs w:val="32"/>
          <w:lang w:eastAsia="zh-CN"/>
          <w14:textFill>
            <w14:solidFill>
              <w14:schemeClr w14:val="tx1"/>
            </w14:solidFill>
          </w14:textFill>
        </w:rPr>
        <w:t>偿总额的5%～10%奖励。</w:t>
      </w:r>
    </w:p>
    <w:p>
      <w:pPr>
        <w:pStyle w:val="2"/>
        <w:spacing w:line="560" w:lineRule="exact"/>
        <w:ind w:firstLine="616" w:firstLineChars="200"/>
        <w:jc w:val="both"/>
        <w:rPr>
          <w:rFonts w:hint="eastAsia" w:cs="仿宋_GB2312"/>
          <w:spacing w:val="-16"/>
          <w:sz w:val="32"/>
          <w:szCs w:val="32"/>
          <w:lang w:eastAsia="zh-CN"/>
        </w:rPr>
      </w:pPr>
      <w:r>
        <w:rPr>
          <w:rFonts w:hint="eastAsia" w:cs="仿宋_GB2312"/>
          <w:spacing w:val="-6"/>
          <w:sz w:val="32"/>
          <w:szCs w:val="32"/>
          <w:lang w:eastAsia="zh-CN"/>
        </w:rPr>
        <w:t>说明：农业生产配套设施用房经乡镇人民政府及相关部门批</w:t>
      </w:r>
      <w:r>
        <w:rPr>
          <w:rFonts w:hint="eastAsia" w:cs="仿宋_GB2312"/>
          <w:spacing w:val="-5"/>
          <w:sz w:val="32"/>
          <w:szCs w:val="32"/>
          <w:lang w:eastAsia="zh-CN"/>
        </w:rPr>
        <w:t>准报备的，按以上标准给予补偿，列入开展评估的参照评估</w:t>
      </w:r>
      <w:r>
        <w:rPr>
          <w:rFonts w:hint="eastAsia" w:cs="仿宋_GB2312"/>
          <w:spacing w:val="-6"/>
          <w:sz w:val="32"/>
          <w:szCs w:val="32"/>
          <w:lang w:eastAsia="zh-CN"/>
        </w:rPr>
        <w:t>价格</w:t>
      </w:r>
      <w:r>
        <w:rPr>
          <w:rFonts w:hint="eastAsia" w:cs="仿宋_GB2312"/>
          <w:spacing w:val="-16"/>
          <w:sz w:val="32"/>
          <w:szCs w:val="32"/>
          <w:lang w:eastAsia="zh-CN"/>
        </w:rPr>
        <w:t>补偿。</w:t>
      </w:r>
    </w:p>
    <w:p>
      <w:pPr>
        <w:pStyle w:val="2"/>
        <w:numPr>
          <w:ilvl w:val="0"/>
          <w:numId w:val="1"/>
        </w:numPr>
        <w:spacing w:line="560" w:lineRule="exact"/>
        <w:ind w:firstLine="576" w:firstLineChars="200"/>
        <w:jc w:val="both"/>
        <w:rPr>
          <w:rFonts w:hint="eastAsia" w:cs="仿宋_GB2312"/>
          <w:color w:val="auto"/>
          <w:spacing w:val="-16"/>
          <w:sz w:val="32"/>
          <w:szCs w:val="32"/>
          <w:lang w:val="en-US" w:eastAsia="zh-CN"/>
        </w:rPr>
      </w:pPr>
      <w:r>
        <w:rPr>
          <w:rFonts w:hint="eastAsia" w:cs="仿宋_GB2312"/>
          <w:color w:val="auto"/>
          <w:spacing w:val="-16"/>
          <w:sz w:val="32"/>
          <w:szCs w:val="32"/>
          <w:lang w:val="en-US" w:eastAsia="zh-CN"/>
        </w:rPr>
        <w:t>临时搬迁过渡费：1-2人，每户每月900元；3-4人，每户每月1150元；5人以上每户每月1450元。货币安置的一次性支付12个月临时拆迁过渡费；政府集中安置的签订房屋拆迁协议后一年内完成交付集中安置地的一次性补偿12个月临时拆迁过渡费，一年后政府未交付集中安置地的继续支付临时拆迁过渡费至政府交付集中安置地为时限，最长不超过48个月；</w:t>
      </w:r>
    </w:p>
    <w:p>
      <w:pPr>
        <w:pStyle w:val="2"/>
        <w:numPr>
          <w:ilvl w:val="0"/>
          <w:numId w:val="1"/>
        </w:numPr>
        <w:spacing w:line="560" w:lineRule="exact"/>
        <w:ind w:firstLine="576" w:firstLineChars="200"/>
        <w:jc w:val="both"/>
        <w:rPr>
          <w:rFonts w:hint="default" w:cs="仿宋_GB2312"/>
          <w:color w:val="auto"/>
          <w:spacing w:val="-16"/>
          <w:sz w:val="32"/>
          <w:szCs w:val="32"/>
          <w:lang w:val="en-US" w:eastAsia="zh-CN"/>
        </w:rPr>
      </w:pPr>
      <w:r>
        <w:rPr>
          <w:rFonts w:hint="eastAsia" w:cs="仿宋_GB2312"/>
          <w:color w:val="auto"/>
          <w:spacing w:val="-16"/>
          <w:sz w:val="32"/>
          <w:szCs w:val="32"/>
          <w:lang w:val="en-US" w:eastAsia="zh-CN"/>
        </w:rPr>
        <w:t xml:space="preserve">拆迁搬迁费：每户1350元； </w:t>
      </w:r>
    </w:p>
    <w:p>
      <w:pPr>
        <w:pStyle w:val="2"/>
        <w:spacing w:line="560" w:lineRule="exact"/>
        <w:ind w:firstLine="643" w:firstLineChars="200"/>
        <w:jc w:val="both"/>
        <w:rPr>
          <w:rFonts w:hint="eastAsia" w:cs="仿宋_GB2312"/>
          <w:b/>
          <w:bCs/>
          <w:sz w:val="32"/>
          <w:szCs w:val="32"/>
          <w:lang w:eastAsia="zh-CN"/>
        </w:rPr>
      </w:pPr>
      <w:r>
        <w:rPr>
          <w:rFonts w:hint="eastAsia" w:cs="仿宋_GB2312"/>
          <w:b/>
          <w:bCs/>
          <w:sz w:val="32"/>
          <w:szCs w:val="32"/>
          <w:lang w:val="en-US" w:eastAsia="zh-CN"/>
        </w:rPr>
        <w:t>十</w:t>
      </w:r>
      <w:r>
        <w:rPr>
          <w:rFonts w:hint="eastAsia" w:cs="仿宋_GB2312"/>
          <w:b/>
          <w:bCs/>
          <w:sz w:val="32"/>
          <w:szCs w:val="32"/>
          <w:lang w:eastAsia="zh-CN"/>
        </w:rPr>
        <w:t>、涉及国有农林场可参照本指导标准执行。</w:t>
      </w:r>
    </w:p>
    <w:p>
      <w:pPr>
        <w:spacing w:line="560" w:lineRule="exact"/>
        <w:ind w:firstLine="643" w:firstLineChars="200"/>
        <w:jc w:val="both"/>
        <w:rPr>
          <w:rFonts w:hint="eastAsia" w:ascii="仿宋" w:hAnsi="仿宋" w:eastAsia="仿宋" w:cs="仿宋_GB2312"/>
          <w:b/>
          <w:bCs/>
          <w:color w:val="auto"/>
          <w:sz w:val="32"/>
          <w:szCs w:val="32"/>
        </w:rPr>
      </w:pPr>
      <w:r>
        <w:rPr>
          <w:rFonts w:hint="eastAsia" w:ascii="仿宋" w:hAnsi="仿宋" w:eastAsia="仿宋" w:cs="仿宋_GB2312"/>
          <w:b/>
          <w:bCs/>
          <w:color w:val="auto"/>
          <w:sz w:val="32"/>
          <w:szCs w:val="32"/>
          <w:lang w:val="en-US" w:eastAsia="zh-CN"/>
        </w:rPr>
        <w:t>十一</w:t>
      </w:r>
      <w:r>
        <w:rPr>
          <w:rFonts w:hint="eastAsia" w:ascii="仿宋" w:hAnsi="仿宋" w:eastAsia="仿宋" w:cs="仿宋_GB2312"/>
          <w:b/>
          <w:bCs/>
          <w:color w:val="auto"/>
          <w:sz w:val="32"/>
          <w:szCs w:val="32"/>
        </w:rPr>
        <w:t>、</w:t>
      </w:r>
      <w:r>
        <w:rPr>
          <w:rFonts w:ascii="仿宋" w:hAnsi="仿宋" w:eastAsia="仿宋" w:cs="仿宋_GB2312"/>
          <w:b/>
          <w:bCs/>
          <w:color w:val="auto"/>
          <w:sz w:val="32"/>
          <w:szCs w:val="32"/>
        </w:rPr>
        <w:t>自征收土地预公告发布之日起，任何单位和个人不得在拟征收范围内抢栽抢建，包括新建、改建、扩建房屋或者其他建筑物、构筑物，种树、种草或者种植其他作物等；违反规定抢栽抢建的，对抢栽抢建部分不予补偿。</w:t>
      </w:r>
    </w:p>
    <w:p>
      <w:pPr>
        <w:spacing w:line="560" w:lineRule="exact"/>
        <w:ind w:firstLine="643" w:firstLineChars="200"/>
        <w:jc w:val="both"/>
        <w:rPr>
          <w:rFonts w:hint="eastAsia" w:ascii="仿宋" w:hAnsi="仿宋" w:eastAsia="仿宋" w:cs="仿宋_GB2312"/>
          <w:b/>
          <w:bCs/>
          <w:color w:val="auto"/>
          <w:sz w:val="32"/>
          <w:szCs w:val="32"/>
        </w:rPr>
      </w:pPr>
      <w:r>
        <w:rPr>
          <w:rFonts w:hint="eastAsia" w:ascii="仿宋" w:hAnsi="仿宋" w:eastAsia="仿宋" w:cs="仿宋_GB2312"/>
          <w:b/>
          <w:bCs/>
          <w:color w:val="auto"/>
          <w:sz w:val="32"/>
          <w:szCs w:val="32"/>
        </w:rPr>
        <w:t>十</w:t>
      </w:r>
      <w:r>
        <w:rPr>
          <w:rFonts w:hint="eastAsia" w:ascii="仿宋" w:hAnsi="仿宋" w:eastAsia="仿宋" w:cs="仿宋_GB2312"/>
          <w:b/>
          <w:bCs/>
          <w:color w:val="auto"/>
          <w:sz w:val="32"/>
          <w:szCs w:val="32"/>
          <w:lang w:val="en-US" w:eastAsia="zh-CN"/>
        </w:rPr>
        <w:t>二</w:t>
      </w:r>
      <w:r>
        <w:rPr>
          <w:rFonts w:hint="eastAsia" w:ascii="仿宋" w:hAnsi="仿宋" w:eastAsia="仿宋" w:cs="仿宋_GB2312"/>
          <w:b/>
          <w:bCs/>
          <w:color w:val="auto"/>
          <w:sz w:val="32"/>
          <w:szCs w:val="32"/>
        </w:rPr>
        <w:t>、对本补偿标准没有涵盖到的青苗或附着物，可参照相近青苗或附着物标准补偿。如有争议可由征收和被征收双方协商确定，协商不成的由具有评估资质的机构通过评估确定补偿标准。</w:t>
      </w:r>
      <w:r>
        <w:rPr>
          <w:rFonts w:ascii="仿宋" w:hAnsi="仿宋" w:eastAsia="仿宋" w:cs="仿宋_GB2312"/>
          <w:b/>
          <w:bCs/>
          <w:color w:val="auto"/>
          <w:sz w:val="32"/>
          <w:szCs w:val="32"/>
        </w:rPr>
        <w:t>国家和</w:t>
      </w:r>
      <w:r>
        <w:rPr>
          <w:rFonts w:hint="eastAsia" w:ascii="仿宋" w:hAnsi="仿宋" w:eastAsia="仿宋" w:cs="仿宋_GB2312"/>
          <w:b/>
          <w:bCs/>
          <w:color w:val="auto"/>
          <w:sz w:val="32"/>
          <w:szCs w:val="32"/>
        </w:rPr>
        <w:t>自治区</w:t>
      </w:r>
      <w:r>
        <w:rPr>
          <w:rFonts w:ascii="仿宋" w:hAnsi="仿宋" w:eastAsia="仿宋" w:cs="仿宋_GB2312"/>
          <w:b/>
          <w:bCs/>
          <w:color w:val="auto"/>
          <w:sz w:val="32"/>
          <w:szCs w:val="32"/>
        </w:rPr>
        <w:t>确定的重大基础设施项目征地地上附着物和青苗补偿标准另有规定的，从其规定。</w:t>
      </w:r>
    </w:p>
    <w:p>
      <w:pPr>
        <w:spacing w:line="560" w:lineRule="exact"/>
        <w:ind w:firstLine="643" w:firstLineChars="200"/>
        <w:jc w:val="both"/>
        <w:rPr>
          <w:rFonts w:hint="eastAsia" w:ascii="仿宋" w:hAnsi="仿宋" w:eastAsia="仿宋" w:cs="仿宋_GB2312"/>
          <w:b/>
          <w:bCs/>
          <w:color w:val="auto"/>
          <w:sz w:val="32"/>
          <w:szCs w:val="32"/>
        </w:rPr>
      </w:pPr>
      <w:r>
        <w:rPr>
          <w:rFonts w:hint="eastAsia" w:ascii="仿宋" w:hAnsi="仿宋" w:eastAsia="仿宋" w:cs="仿宋_GB2312"/>
          <w:b/>
          <w:bCs/>
          <w:color w:val="auto"/>
          <w:sz w:val="32"/>
          <w:szCs w:val="32"/>
        </w:rPr>
        <w:t>十</w:t>
      </w:r>
      <w:r>
        <w:rPr>
          <w:rFonts w:hint="eastAsia" w:ascii="仿宋" w:hAnsi="仿宋" w:eastAsia="仿宋" w:cs="仿宋_GB2312"/>
          <w:b/>
          <w:bCs/>
          <w:sz w:val="32"/>
          <w:szCs w:val="32"/>
          <w:lang w:val="en-US" w:eastAsia="zh-CN"/>
        </w:rPr>
        <w:t>三</w:t>
      </w:r>
      <w:r>
        <w:rPr>
          <w:rFonts w:hint="eastAsia" w:ascii="仿宋" w:hAnsi="仿宋" w:eastAsia="仿宋" w:cs="仿宋_GB2312"/>
          <w:b/>
          <w:bCs/>
          <w:color w:val="auto"/>
          <w:sz w:val="32"/>
          <w:szCs w:val="32"/>
        </w:rPr>
        <w:t>、青苗补偿结束后,视具体情况,由补偿人决定是否由获得青苗补偿所有权人自行清理已补偿的青苗。</w:t>
      </w:r>
    </w:p>
    <w:p>
      <w:pPr>
        <w:spacing w:line="560" w:lineRule="exact"/>
        <w:ind w:firstLine="643" w:firstLineChars="200"/>
        <w:jc w:val="both"/>
        <w:rPr>
          <w:rFonts w:hint="eastAsia" w:ascii="仿宋" w:hAnsi="仿宋" w:eastAsia="仿宋" w:cs="仿宋_GB2312"/>
          <w:b/>
          <w:bCs/>
          <w:color w:val="auto"/>
          <w:sz w:val="32"/>
          <w:szCs w:val="32"/>
        </w:rPr>
      </w:pPr>
      <w:r>
        <w:rPr>
          <w:rFonts w:hint="eastAsia" w:ascii="仿宋" w:hAnsi="仿宋" w:eastAsia="仿宋" w:cs="仿宋_GB2312"/>
          <w:b/>
          <w:bCs/>
          <w:color w:val="auto"/>
          <w:sz w:val="32"/>
          <w:szCs w:val="32"/>
        </w:rPr>
        <w:t>十</w:t>
      </w:r>
      <w:r>
        <w:rPr>
          <w:rFonts w:hint="eastAsia" w:ascii="仿宋" w:hAnsi="仿宋" w:eastAsia="仿宋" w:cs="仿宋_GB2312"/>
          <w:b/>
          <w:bCs/>
          <w:color w:val="auto"/>
          <w:sz w:val="32"/>
          <w:szCs w:val="32"/>
          <w:lang w:val="en-US" w:eastAsia="zh-CN"/>
        </w:rPr>
        <w:t>四</w:t>
      </w:r>
      <w:r>
        <w:rPr>
          <w:rFonts w:hint="eastAsia" w:ascii="仿宋" w:hAnsi="仿宋" w:eastAsia="仿宋" w:cs="仿宋_GB2312"/>
          <w:b/>
          <w:bCs/>
          <w:color w:val="auto"/>
          <w:sz w:val="32"/>
          <w:szCs w:val="32"/>
        </w:rPr>
        <w:t>、本指导标准实施中的具体问题由宾阳县房屋征收补偿和征地拆迁中心负责解释。</w:t>
      </w:r>
    </w:p>
    <w:p>
      <w:pPr>
        <w:spacing w:line="560" w:lineRule="exact"/>
        <w:ind w:firstLine="643" w:firstLineChars="200"/>
        <w:jc w:val="both"/>
        <w:rPr>
          <w:rFonts w:hint="eastAsia" w:ascii="仿宋" w:hAnsi="仿宋" w:eastAsia="仿宋" w:cs="仿宋_GB2312"/>
          <w:b/>
          <w:bCs/>
          <w:color w:val="auto"/>
          <w:sz w:val="32"/>
          <w:szCs w:val="32"/>
          <w:lang w:val="en-US" w:eastAsia="zh-CN"/>
        </w:rPr>
        <w:sectPr>
          <w:footerReference r:id="rId3" w:type="default"/>
          <w:pgSz w:w="12210" w:h="17050"/>
          <w:pgMar w:top="1449" w:right="1445" w:bottom="1204" w:left="1484" w:header="0" w:footer="915" w:gutter="0"/>
          <w:cols w:space="720" w:num="1"/>
        </w:sectPr>
      </w:pPr>
      <w:r>
        <w:rPr>
          <w:rFonts w:hint="eastAsia" w:ascii="仿宋" w:hAnsi="仿宋" w:eastAsia="仿宋" w:cs="仿宋_GB2312"/>
          <w:b/>
          <w:bCs/>
          <w:color w:val="auto"/>
          <w:sz w:val="32"/>
          <w:szCs w:val="32"/>
        </w:rPr>
        <w:t>十</w:t>
      </w:r>
      <w:r>
        <w:rPr>
          <w:rFonts w:hint="eastAsia" w:ascii="仿宋" w:hAnsi="仿宋" w:eastAsia="仿宋" w:cs="仿宋_GB2312"/>
          <w:b/>
          <w:bCs/>
          <w:color w:val="auto"/>
          <w:sz w:val="32"/>
          <w:szCs w:val="32"/>
          <w:lang w:val="en-US" w:eastAsia="zh-CN"/>
        </w:rPr>
        <w:t>五</w:t>
      </w:r>
      <w:r>
        <w:rPr>
          <w:rFonts w:hint="eastAsia" w:ascii="仿宋" w:hAnsi="仿宋" w:eastAsia="仿宋" w:cs="仿宋_GB2312"/>
          <w:b/>
          <w:bCs/>
          <w:color w:val="auto"/>
          <w:sz w:val="32"/>
          <w:szCs w:val="32"/>
        </w:rPr>
        <w:t>、本指导标准从印发之日起实施，此前的指导标准与本指导标准不一致的，以本指导标准为准，有效期三</w:t>
      </w:r>
      <w:r>
        <w:rPr>
          <w:rFonts w:hint="eastAsia" w:ascii="仿宋" w:hAnsi="仿宋" w:eastAsia="仿宋" w:cs="仿宋_GB2312"/>
          <w:b/>
          <w:bCs/>
          <w:color w:val="auto"/>
          <w:sz w:val="32"/>
          <w:szCs w:val="32"/>
          <w:lang w:val="en-US" w:eastAsia="zh-CN"/>
        </w:rPr>
        <w:t>年。</w:t>
      </w:r>
    </w:p>
    <w:p>
      <w:pPr>
        <w:widowControl w:val="0"/>
        <w:spacing w:line="380" w:lineRule="exact"/>
        <w:rPr>
          <w:rFonts w:hint="eastAsia" w:ascii="仿宋" w:hAnsi="仿宋" w:eastAsia="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等线">
    <w:altName w:val="Arial Unicode MS"/>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Malgun Gothic">
    <w:panose1 w:val="020B0503020000020004"/>
    <w:charset w:val="81"/>
    <w:family w:val="swiss"/>
    <w:pitch w:val="default"/>
    <w:sig w:usb0="900002AF" w:usb1="01D77CFB" w:usb2="00000012" w:usb3="00000000" w:csb0="0008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5028"/>
      </w:tabs>
      <w:spacing w:line="177" w:lineRule="auto"/>
      <w:ind w:left="494"/>
      <w:rPr>
        <w:rFonts w:hint="eastAsia" w:ascii="宋体" w:hAnsi="宋体" w:cs="宋体"/>
        <w:sz w:val="29"/>
        <w:szCs w:val="29"/>
      </w:rPr>
    </w:pPr>
    <w:r>
      <w:rPr>
        <w:sz w:val="29"/>
      </w:rPr>
      <mc:AlternateContent>
        <mc:Choice Requires="wps">
          <w:drawing>
            <wp:anchor distT="0" distB="0" distL="114300" distR="114300" simplePos="0" relativeHeight="251659264" behindDoc="0" locked="0" layoutInCell="1" allowOverlap="1">
              <wp:simplePos x="0" y="0"/>
              <wp:positionH relativeFrom="margin">
                <wp:posOffset>2915285</wp:posOffset>
              </wp:positionH>
              <wp:positionV relativeFrom="paragraph">
                <wp:posOffset>-1905</wp:posOffset>
              </wp:positionV>
              <wp:extent cx="247650" cy="1905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47650" cy="1905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29.55pt;margin-top:-0.15pt;height:15pt;width:19.5pt;mso-position-horizontal-relative:margin;z-index:251659264;mso-width-relative:page;mso-height-relative:page;" filled="f" stroked="f" coordsize="21600,21600" o:gfxdata="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knF1HYAAAACAEAAA8AAAAAAAAAAQAgAAAAIgAAAGRycy9kb3ducmV2LnhtbFBL&#10;AQIUABQAAAAIAIdO4kBjJV31LwIAAFUEAAAOAAAAAAAAAAEAIAAAACcBAABkcnMvZTJvRG9jLnht&#10;bFBLBQYAAAAABgAGAFkBAADIBQAAAAA=&#10;">
              <v:fill on="f" focussize="0,0"/>
              <v:stroke on="f" weight="0.5pt"/>
              <v:imagedata o:title=""/>
              <o:lock v:ext="edit" aspectratio="f"/>
              <v:textbox inset="0mm,0mm,0mm,0mm">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3CF0C0"/>
    <w:multiLevelType w:val="singleLevel"/>
    <w:tmpl w:val="EB3CF0C0"/>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B930BC"/>
    <w:rsid w:val="000B4F92"/>
    <w:rsid w:val="000C6966"/>
    <w:rsid w:val="000E0B6E"/>
    <w:rsid w:val="000F25C2"/>
    <w:rsid w:val="001737F1"/>
    <w:rsid w:val="00212694"/>
    <w:rsid w:val="002722E7"/>
    <w:rsid w:val="002B38CE"/>
    <w:rsid w:val="002D1BF7"/>
    <w:rsid w:val="002D3D99"/>
    <w:rsid w:val="002D4C00"/>
    <w:rsid w:val="002F33BB"/>
    <w:rsid w:val="0030251D"/>
    <w:rsid w:val="00304440"/>
    <w:rsid w:val="003539E3"/>
    <w:rsid w:val="00364B06"/>
    <w:rsid w:val="00383862"/>
    <w:rsid w:val="00383968"/>
    <w:rsid w:val="003D4EF5"/>
    <w:rsid w:val="00421D91"/>
    <w:rsid w:val="004272F8"/>
    <w:rsid w:val="00450218"/>
    <w:rsid w:val="004D605A"/>
    <w:rsid w:val="005467EB"/>
    <w:rsid w:val="005663A1"/>
    <w:rsid w:val="00586312"/>
    <w:rsid w:val="005E2C13"/>
    <w:rsid w:val="006218FA"/>
    <w:rsid w:val="006B4D67"/>
    <w:rsid w:val="006C4311"/>
    <w:rsid w:val="0070436C"/>
    <w:rsid w:val="007130C0"/>
    <w:rsid w:val="007279CE"/>
    <w:rsid w:val="0076305B"/>
    <w:rsid w:val="00782634"/>
    <w:rsid w:val="00800918"/>
    <w:rsid w:val="00865C04"/>
    <w:rsid w:val="00892311"/>
    <w:rsid w:val="008A6BFE"/>
    <w:rsid w:val="008B61DF"/>
    <w:rsid w:val="008D3CC5"/>
    <w:rsid w:val="009728A8"/>
    <w:rsid w:val="009B7281"/>
    <w:rsid w:val="00A620C9"/>
    <w:rsid w:val="00AA2B61"/>
    <w:rsid w:val="00B33E0F"/>
    <w:rsid w:val="00BC35C2"/>
    <w:rsid w:val="00BC4CD6"/>
    <w:rsid w:val="00C21443"/>
    <w:rsid w:val="00C5607B"/>
    <w:rsid w:val="00C77EA0"/>
    <w:rsid w:val="00C90655"/>
    <w:rsid w:val="00CF1743"/>
    <w:rsid w:val="00D64466"/>
    <w:rsid w:val="00D7135A"/>
    <w:rsid w:val="00E1005F"/>
    <w:rsid w:val="00E562FC"/>
    <w:rsid w:val="00F14CA7"/>
    <w:rsid w:val="00F249FF"/>
    <w:rsid w:val="00F44832"/>
    <w:rsid w:val="00F66227"/>
    <w:rsid w:val="00FC466E"/>
    <w:rsid w:val="01414E86"/>
    <w:rsid w:val="014600E8"/>
    <w:rsid w:val="016F493A"/>
    <w:rsid w:val="02B930BC"/>
    <w:rsid w:val="02FD39EE"/>
    <w:rsid w:val="044356D7"/>
    <w:rsid w:val="055E085F"/>
    <w:rsid w:val="05C21007"/>
    <w:rsid w:val="061E1B96"/>
    <w:rsid w:val="063D44D2"/>
    <w:rsid w:val="06E63F67"/>
    <w:rsid w:val="06F77B20"/>
    <w:rsid w:val="075C27C9"/>
    <w:rsid w:val="07656842"/>
    <w:rsid w:val="07B509B3"/>
    <w:rsid w:val="0B8A2CF5"/>
    <w:rsid w:val="0D662E08"/>
    <w:rsid w:val="0F0C2588"/>
    <w:rsid w:val="0F486821"/>
    <w:rsid w:val="0FFA6A95"/>
    <w:rsid w:val="10134FF0"/>
    <w:rsid w:val="10175B02"/>
    <w:rsid w:val="10B412F6"/>
    <w:rsid w:val="11DE5560"/>
    <w:rsid w:val="13580061"/>
    <w:rsid w:val="13875A12"/>
    <w:rsid w:val="13A45474"/>
    <w:rsid w:val="140C5DFC"/>
    <w:rsid w:val="1508751E"/>
    <w:rsid w:val="15210E2B"/>
    <w:rsid w:val="195902A5"/>
    <w:rsid w:val="19650BF8"/>
    <w:rsid w:val="1A1F0F68"/>
    <w:rsid w:val="1B200DCD"/>
    <w:rsid w:val="1D4B1004"/>
    <w:rsid w:val="1DBC0F0B"/>
    <w:rsid w:val="1E2C658F"/>
    <w:rsid w:val="1E324D9F"/>
    <w:rsid w:val="1F1B2614"/>
    <w:rsid w:val="20934EAD"/>
    <w:rsid w:val="211B7B5B"/>
    <w:rsid w:val="21A26B3B"/>
    <w:rsid w:val="2542093D"/>
    <w:rsid w:val="25DF33B9"/>
    <w:rsid w:val="26D27249"/>
    <w:rsid w:val="2A293752"/>
    <w:rsid w:val="2AB4591B"/>
    <w:rsid w:val="2B842F73"/>
    <w:rsid w:val="2C1A6CEA"/>
    <w:rsid w:val="2C3B366F"/>
    <w:rsid w:val="2EC334E3"/>
    <w:rsid w:val="2F1A1856"/>
    <w:rsid w:val="2F2A7B9D"/>
    <w:rsid w:val="2F3A3290"/>
    <w:rsid w:val="2F736DBA"/>
    <w:rsid w:val="2FF005FC"/>
    <w:rsid w:val="317A2CE4"/>
    <w:rsid w:val="32A11D8E"/>
    <w:rsid w:val="352E73B1"/>
    <w:rsid w:val="35653E5C"/>
    <w:rsid w:val="385E74CA"/>
    <w:rsid w:val="38FF58A2"/>
    <w:rsid w:val="397336CF"/>
    <w:rsid w:val="3B4B164C"/>
    <w:rsid w:val="3C0551C5"/>
    <w:rsid w:val="3C600932"/>
    <w:rsid w:val="3CD818E9"/>
    <w:rsid w:val="3E6D7D68"/>
    <w:rsid w:val="41A46741"/>
    <w:rsid w:val="424B75C1"/>
    <w:rsid w:val="42561B2D"/>
    <w:rsid w:val="442937A1"/>
    <w:rsid w:val="44F45B21"/>
    <w:rsid w:val="45166A26"/>
    <w:rsid w:val="456E7AA4"/>
    <w:rsid w:val="46153E08"/>
    <w:rsid w:val="462D7B89"/>
    <w:rsid w:val="47361338"/>
    <w:rsid w:val="475C31F0"/>
    <w:rsid w:val="475D7EB0"/>
    <w:rsid w:val="4816008A"/>
    <w:rsid w:val="48162654"/>
    <w:rsid w:val="48A664CC"/>
    <w:rsid w:val="49264A0F"/>
    <w:rsid w:val="49B028E9"/>
    <w:rsid w:val="4A6B4B73"/>
    <w:rsid w:val="4AC967FC"/>
    <w:rsid w:val="4B00559A"/>
    <w:rsid w:val="4B051A22"/>
    <w:rsid w:val="4B982295"/>
    <w:rsid w:val="4C6F32EE"/>
    <w:rsid w:val="4C777EB6"/>
    <w:rsid w:val="4D5A127B"/>
    <w:rsid w:val="4D5F637E"/>
    <w:rsid w:val="4DC66683"/>
    <w:rsid w:val="4DF22E52"/>
    <w:rsid w:val="4E10291E"/>
    <w:rsid w:val="4F801F1C"/>
    <w:rsid w:val="515F4B62"/>
    <w:rsid w:val="52616CDB"/>
    <w:rsid w:val="53021ACF"/>
    <w:rsid w:val="5378305F"/>
    <w:rsid w:val="54A65DC2"/>
    <w:rsid w:val="55072635"/>
    <w:rsid w:val="559626EC"/>
    <w:rsid w:val="55C972CB"/>
    <w:rsid w:val="562F5388"/>
    <w:rsid w:val="573A75A8"/>
    <w:rsid w:val="57870AFC"/>
    <w:rsid w:val="582817AF"/>
    <w:rsid w:val="594866E1"/>
    <w:rsid w:val="59942BEC"/>
    <w:rsid w:val="59FD4E65"/>
    <w:rsid w:val="5A897C95"/>
    <w:rsid w:val="5B507A5E"/>
    <w:rsid w:val="5B795CD5"/>
    <w:rsid w:val="5BB40308"/>
    <w:rsid w:val="5BF137F0"/>
    <w:rsid w:val="5C457071"/>
    <w:rsid w:val="5D1C5A4F"/>
    <w:rsid w:val="5D437E8D"/>
    <w:rsid w:val="5E2E21D2"/>
    <w:rsid w:val="5EA26B50"/>
    <w:rsid w:val="5EE170A1"/>
    <w:rsid w:val="5FD846D0"/>
    <w:rsid w:val="5FF81680"/>
    <w:rsid w:val="60507384"/>
    <w:rsid w:val="60710045"/>
    <w:rsid w:val="6130670C"/>
    <w:rsid w:val="61A3598A"/>
    <w:rsid w:val="61BE068B"/>
    <w:rsid w:val="632E37C8"/>
    <w:rsid w:val="64A8464D"/>
    <w:rsid w:val="65DA6C85"/>
    <w:rsid w:val="664E2064"/>
    <w:rsid w:val="66554CA7"/>
    <w:rsid w:val="67362E6F"/>
    <w:rsid w:val="6770763F"/>
    <w:rsid w:val="68C3086F"/>
    <w:rsid w:val="68E40DA4"/>
    <w:rsid w:val="696138B4"/>
    <w:rsid w:val="697A6D19"/>
    <w:rsid w:val="698768E9"/>
    <w:rsid w:val="6AB32350"/>
    <w:rsid w:val="6C372C90"/>
    <w:rsid w:val="6C7C0CC8"/>
    <w:rsid w:val="6E1206A1"/>
    <w:rsid w:val="6E3269D7"/>
    <w:rsid w:val="6E9666FC"/>
    <w:rsid w:val="6ED42349"/>
    <w:rsid w:val="709204E8"/>
    <w:rsid w:val="70AF78E8"/>
    <w:rsid w:val="713E3462"/>
    <w:rsid w:val="714D016C"/>
    <w:rsid w:val="72A042BA"/>
    <w:rsid w:val="740C3067"/>
    <w:rsid w:val="743E4B66"/>
    <w:rsid w:val="751F40B7"/>
    <w:rsid w:val="758A06CA"/>
    <w:rsid w:val="75D27E21"/>
    <w:rsid w:val="76EB6240"/>
    <w:rsid w:val="77245A86"/>
    <w:rsid w:val="77904DB5"/>
    <w:rsid w:val="793175A6"/>
    <w:rsid w:val="79CE7BE3"/>
    <w:rsid w:val="7AD47110"/>
    <w:rsid w:val="7C331F41"/>
    <w:rsid w:val="7C890058"/>
    <w:rsid w:val="7CC62500"/>
    <w:rsid w:val="7D1F1254"/>
    <w:rsid w:val="7D9263E8"/>
    <w:rsid w:val="7DA60233"/>
    <w:rsid w:val="7E7F5C1C"/>
    <w:rsid w:val="7F74752A"/>
    <w:rsid w:val="7FD87953"/>
    <w:rsid w:val="7FE355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宋体" w:cs="Arial"/>
      <w:color w:val="000000"/>
      <w:sz w:val="21"/>
      <w:szCs w:val="21"/>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8"/>
    <w:semiHidden/>
    <w:qFormat/>
    <w:uiPriority w:val="0"/>
    <w:rPr>
      <w:rFonts w:ascii="仿宋" w:hAnsi="仿宋" w:eastAsia="仿宋" w:cs="仿宋"/>
      <w:lang w:eastAsia="en-US"/>
    </w:rPr>
  </w:style>
  <w:style w:type="paragraph" w:styleId="3">
    <w:name w:val="footer"/>
    <w:basedOn w:val="1"/>
    <w:qFormat/>
    <w:uiPriority w:val="0"/>
    <w:pPr>
      <w:tabs>
        <w:tab w:val="center" w:pos="4153"/>
        <w:tab w:val="right" w:pos="8306"/>
      </w:tabs>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FollowedHyperlink"/>
    <w:basedOn w:val="7"/>
    <w:unhideWhenUsed/>
    <w:qFormat/>
    <w:uiPriority w:val="99"/>
    <w:rPr>
      <w:color w:val="954F72"/>
      <w:u w:val="single"/>
    </w:rPr>
  </w:style>
  <w:style w:type="character" w:styleId="9">
    <w:name w:val="Hyperlink"/>
    <w:basedOn w:val="7"/>
    <w:unhideWhenUsed/>
    <w:qFormat/>
    <w:uiPriority w:val="99"/>
    <w:rPr>
      <w:color w:val="0563C1"/>
      <w:u w:val="single"/>
    </w:rPr>
  </w:style>
  <w:style w:type="table" w:customStyle="1" w:styleId="10">
    <w:name w:val="Table Normal"/>
    <w:basedOn w:val="5"/>
    <w:qFormat/>
    <w:uiPriority w:val="0"/>
    <w:rPr>
      <w:rFonts w:ascii="Times New Roman" w:hAnsi="Times New Roman" w:eastAsia="Times New Roman" w:cs="Times New Roman"/>
    </w:rPr>
    <w:tblPr>
      <w:tblCellMar>
        <w:left w:w="0" w:type="dxa"/>
        <w:right w:w="0" w:type="dxa"/>
      </w:tblCellMar>
    </w:tblPr>
  </w:style>
  <w:style w:type="paragraph" w:customStyle="1" w:styleId="11">
    <w:name w:val="Table Text"/>
    <w:basedOn w:val="1"/>
    <w:semiHidden/>
    <w:qFormat/>
    <w:uiPriority w:val="0"/>
    <w:rPr>
      <w:rFonts w:ascii="宋体" w:hAnsi="宋体" w:cs="宋体"/>
      <w:sz w:val="25"/>
      <w:szCs w:val="25"/>
      <w:lang w:eastAsia="en-US"/>
    </w:rPr>
  </w:style>
  <w:style w:type="paragraph" w:customStyle="1" w:styleId="12">
    <w:name w:val="msonormal"/>
    <w:basedOn w:val="1"/>
    <w:qFormat/>
    <w:uiPriority w:val="0"/>
    <w:pPr>
      <w:kinsoku/>
      <w:autoSpaceDE/>
      <w:autoSpaceDN/>
      <w:adjustRightInd/>
      <w:snapToGrid/>
      <w:spacing w:before="100" w:beforeAutospacing="1" w:after="100" w:afterAutospacing="1"/>
      <w:textAlignment w:val="auto"/>
    </w:pPr>
    <w:rPr>
      <w:rFonts w:ascii="宋体" w:hAnsi="宋体" w:cs="宋体"/>
      <w:color w:val="auto"/>
      <w:sz w:val="24"/>
      <w:szCs w:val="24"/>
    </w:rPr>
  </w:style>
  <w:style w:type="paragraph" w:customStyle="1" w:styleId="13">
    <w:name w:val="font5"/>
    <w:basedOn w:val="1"/>
    <w:qFormat/>
    <w:uiPriority w:val="0"/>
    <w:pPr>
      <w:kinsoku/>
      <w:autoSpaceDE/>
      <w:autoSpaceDN/>
      <w:adjustRightInd/>
      <w:snapToGrid/>
      <w:spacing w:before="100" w:beforeAutospacing="1" w:after="100" w:afterAutospacing="1"/>
      <w:textAlignment w:val="auto"/>
    </w:pPr>
    <w:rPr>
      <w:rFonts w:ascii="等线" w:hAnsi="等线" w:eastAsia="等线" w:cs="宋体"/>
      <w:color w:val="auto"/>
      <w:sz w:val="18"/>
      <w:szCs w:val="18"/>
    </w:rPr>
  </w:style>
  <w:style w:type="paragraph" w:customStyle="1" w:styleId="14">
    <w:name w:val="xl65"/>
    <w:basedOn w:val="1"/>
    <w:qFormat/>
    <w:uiPriority w:val="0"/>
    <w:pPr>
      <w:kinsoku/>
      <w:autoSpaceDE/>
      <w:autoSpaceDN/>
      <w:adjustRightInd/>
      <w:snapToGrid/>
      <w:spacing w:before="100" w:beforeAutospacing="1" w:after="100" w:afterAutospacing="1"/>
      <w:jc w:val="center"/>
      <w:textAlignment w:val="center"/>
    </w:pPr>
    <w:rPr>
      <w:rFonts w:ascii="仿宋" w:hAnsi="仿宋" w:eastAsia="仿宋" w:cs="宋体"/>
      <w:color w:val="auto"/>
      <w:sz w:val="24"/>
      <w:szCs w:val="24"/>
    </w:rPr>
  </w:style>
  <w:style w:type="paragraph" w:customStyle="1" w:styleId="15">
    <w:name w:val="xl66"/>
    <w:basedOn w:val="1"/>
    <w:qFormat/>
    <w:uiPriority w:val="0"/>
    <w:pPr>
      <w:pBdr>
        <w:top w:val="single" w:color="auto" w:sz="4" w:space="0"/>
        <w:left w:val="single" w:color="auto" w:sz="4" w:space="0"/>
        <w:bottom w:val="single" w:color="auto" w:sz="4" w:space="0"/>
        <w:right w:val="single" w:color="auto" w:sz="4" w:space="0"/>
      </w:pBdr>
      <w:kinsoku/>
      <w:autoSpaceDE/>
      <w:autoSpaceDN/>
      <w:adjustRightInd/>
      <w:snapToGrid/>
      <w:spacing w:before="100" w:beforeAutospacing="1" w:after="100" w:afterAutospacing="1"/>
      <w:jc w:val="center"/>
      <w:textAlignment w:val="center"/>
    </w:pPr>
    <w:rPr>
      <w:rFonts w:ascii="仿宋" w:hAnsi="仿宋" w:eastAsia="仿宋" w:cs="宋体"/>
      <w:color w:val="auto"/>
      <w:sz w:val="24"/>
      <w:szCs w:val="24"/>
    </w:rPr>
  </w:style>
  <w:style w:type="paragraph" w:customStyle="1" w:styleId="16">
    <w:name w:val="xl67"/>
    <w:basedOn w:val="1"/>
    <w:qFormat/>
    <w:uiPriority w:val="0"/>
    <w:pPr>
      <w:pBdr>
        <w:top w:val="single" w:color="auto" w:sz="4" w:space="0"/>
        <w:left w:val="single" w:color="auto" w:sz="4" w:space="0"/>
        <w:bottom w:val="single" w:color="auto" w:sz="4" w:space="0"/>
        <w:right w:val="single" w:color="auto" w:sz="4" w:space="0"/>
      </w:pBdr>
      <w:kinsoku/>
      <w:autoSpaceDE/>
      <w:autoSpaceDN/>
      <w:adjustRightInd/>
      <w:snapToGrid/>
      <w:spacing w:before="100" w:beforeAutospacing="1" w:after="100" w:afterAutospacing="1"/>
      <w:jc w:val="center"/>
      <w:textAlignment w:val="center"/>
    </w:pPr>
    <w:rPr>
      <w:rFonts w:ascii="仿宋" w:hAnsi="仿宋" w:eastAsia="仿宋" w:cs="宋体"/>
      <w:sz w:val="24"/>
      <w:szCs w:val="24"/>
    </w:rPr>
  </w:style>
  <w:style w:type="paragraph" w:customStyle="1" w:styleId="17">
    <w:name w:val="xl68"/>
    <w:basedOn w:val="1"/>
    <w:qFormat/>
    <w:uiPriority w:val="0"/>
    <w:pPr>
      <w:kinsoku/>
      <w:autoSpaceDE/>
      <w:autoSpaceDN/>
      <w:adjustRightInd/>
      <w:snapToGrid/>
      <w:spacing w:before="100" w:beforeAutospacing="1" w:after="100" w:afterAutospacing="1"/>
      <w:textAlignment w:val="center"/>
    </w:pPr>
    <w:rPr>
      <w:rFonts w:ascii="仿宋" w:hAnsi="仿宋" w:eastAsia="仿宋" w:cs="宋体"/>
      <w:color w:val="auto"/>
      <w:sz w:val="24"/>
      <w:szCs w:val="24"/>
    </w:rPr>
  </w:style>
  <w:style w:type="character" w:customStyle="1" w:styleId="18">
    <w:name w:val="正文文本 字符"/>
    <w:basedOn w:val="7"/>
    <w:link w:val="2"/>
    <w:semiHidden/>
    <w:qFormat/>
    <w:uiPriority w:val="0"/>
    <w:rPr>
      <w:rFonts w:ascii="仿宋" w:hAnsi="仿宋" w:eastAsia="仿宋" w:cs="仿宋"/>
      <w:color w:val="000000"/>
      <w:sz w:val="21"/>
      <w:szCs w:val="21"/>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10265</Words>
  <Characters>13732</Characters>
  <Lines>3737</Lines>
  <Paragraphs>3387</Paragraphs>
  <TotalTime>44</TotalTime>
  <ScaleCrop>false</ScaleCrop>
  <LinksUpToDate>false</LinksUpToDate>
  <CharactersWithSpaces>14232</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2025-06-14T16:00:00Z</dcterms:created>
  <dc:creator>Administrator</dc:creator>
  <cp:lastModifiedBy>Administrator</cp:lastModifiedBy>
  <cp:lastPrinted>2024-11-01T03:35:00Z</cp:lastPrinted>
  <dcterms:modified xsi:type="dcterms:W3CDTF">2025-12-23T02:28:24Z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F153E76D042048E8B08E40061A4013A8</vt:lpwstr>
  </property>
  <property fmtid="{D5CDD505-2E9C-101B-9397-08002B2CF9AE}" pid="4" name="KSOTemplateDocerSaveRecord">
    <vt:lpwstr>eyJoZGlkIjoiNTE2M2IyOTVmZDYwYmE5YThlMDAyOWRhZDNhNDQ0ODYiLCJ1c2VySWQiOiIyODg3MDI0OTYifQ==</vt:lpwstr>
  </property>
</Properties>
</file>