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宾阳县：构建“三网融合”现代物流体系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激活乡村振兴新动能</w:t>
      </w:r>
    </w:p>
    <w:p>
      <w:pPr>
        <w:ind w:left="0" w:leftChars="0" w:firstLine="0" w:firstLineChars="0"/>
        <w:rPr>
          <w:rFonts w:hint="eastAsia"/>
          <w:color w:val="auto"/>
        </w:rPr>
      </w:pPr>
    </w:p>
    <w:p>
      <w:pPr>
        <w:rPr>
          <w:rFonts w:hint="eastAsia"/>
          <w:color w:val="auto"/>
        </w:rPr>
      </w:pPr>
      <w:r>
        <w:rPr>
          <w:rFonts w:hint="eastAsia"/>
          <w:color w:val="auto"/>
        </w:rPr>
        <w:t xml:space="preserve"> 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highlight w:val="none"/>
          <w:lang w:val="en-US" w:eastAsia="zh-CN"/>
        </w:rPr>
        <w:t>一、善借政策东风，凝聚发展合力</w:t>
      </w:r>
      <w:r>
        <w:rPr>
          <w:rFonts w:hint="eastAsia"/>
          <w:color w:val="auto"/>
        </w:rPr>
        <w:t xml:space="preserve">  </w:t>
      </w:r>
    </w:p>
    <w:p>
      <w:pPr>
        <w:rPr>
          <w:rFonts w:hint="eastAsia"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（一）党政主导强支撑</w:t>
      </w:r>
      <w:r>
        <w:rPr>
          <w:rFonts w:hint="eastAsia"/>
          <w:color w:val="auto"/>
        </w:rPr>
        <w:t xml:space="preserve">  </w:t>
      </w:r>
    </w:p>
    <w:p>
      <w:pPr>
        <w:rPr>
          <w:rFonts w:hint="eastAsia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立足“千年商埠”商贸传统，宾阳县委、县政府将农村物流纳入“商贸活县”核心战略。成立以党政主要领导为组长的县域商业体系建设领导小组，统筹财政、交通、农业等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  <w:t>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个部门协同推进。</w:t>
      </w:r>
      <w:r>
        <w:rPr>
          <w:rFonts w:hint="eastAsia"/>
          <w:color w:val="auto"/>
        </w:rPr>
        <w:t xml:space="preserve">  </w:t>
      </w:r>
    </w:p>
    <w:p>
      <w:pPr>
        <w:rPr>
          <w:rFonts w:hint="eastAsia"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（二）项目驱动夯基础</w:t>
      </w:r>
      <w:r>
        <w:rPr>
          <w:rFonts w:hint="eastAsia"/>
          <w:color w:val="auto"/>
        </w:rPr>
        <w:t xml:space="preserve">  </w:t>
      </w:r>
    </w:p>
    <w:p>
      <w:pP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枢纽工程：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  <w:t>广西金思医药大健康产业园现代物流仓储项目建设面积约19000平方米，总投入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highlight w:val="none"/>
          <w:lang w:val="en-US" w:eastAsia="zh-CN"/>
        </w:rPr>
        <w:t>2542万元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  <w:t>，项目于2024年6月完成验收投产使用，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建成的仓储面积和投入的设备设施能支持年销售</w:t>
      </w:r>
      <w:r>
        <w:rPr>
          <w:rFonts w:hint="eastAsia" w:ascii="仿宋_GB2312" w:hAnsi="仿宋_GB2312" w:cs="仿宋_GB2312"/>
          <w:color w:val="auto"/>
          <w:sz w:val="32"/>
          <w:szCs w:val="32"/>
          <w:highlight w:val="none"/>
          <w:lang w:eastAsia="zh-CN"/>
        </w:rPr>
        <w:t>15亿-20亿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元的仓储配送一体化的市场需求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充分利用现有的现代物流仓储，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能化分拣设备，低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能智能控制系统空调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共享资源减少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作方不必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要的仓储建设投入和运营中不必要的人力和配送成本开支。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 xml:space="preserve"> </w:t>
      </w:r>
      <w:r>
        <w:rPr>
          <w:rFonts w:hint="eastAsia"/>
          <w:color w:val="auto"/>
        </w:rPr>
        <w:t xml:space="preserve">   </w:t>
      </w:r>
    </w:p>
    <w:p>
      <w:pPr>
        <w:rPr>
          <w:rFonts w:hint="eastAsia"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（三）机制创新促落实</w:t>
      </w:r>
      <w:r>
        <w:rPr>
          <w:rFonts w:hint="eastAsia"/>
          <w:color w:val="auto"/>
        </w:rPr>
        <w:t xml:space="preserve">  </w:t>
      </w:r>
    </w:p>
    <w:p>
      <w:pP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 xml:space="preserve">出台《宾阳县县域商业体系建设行动工作方案》，建立“动态项目库+资金精准滴灌”机制：  </w:t>
      </w:r>
    </w:p>
    <w:p>
      <w:pP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优化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  <w:t>县域商业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储备项目，将原5个项目整合为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 xml:space="preserve">个关键工程（广西宾阳县黎塘镇大统发购物中心建设项目、宾阳县国有农贸市场升级改造及运营项目（三期））；  </w:t>
      </w:r>
    </w:p>
    <w:p>
      <w:pPr>
        <w:rPr>
          <w:rFonts w:hint="eastAsia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实行季度进度督办，对滞后项目启动退出机制，确保资金高效使用。</w:t>
      </w:r>
      <w:r>
        <w:rPr>
          <w:rFonts w:hint="eastAsia"/>
          <w:color w:val="auto"/>
        </w:rPr>
        <w:t xml:space="preserve">  </w:t>
      </w:r>
    </w:p>
    <w:p>
      <w:pPr>
        <w:rPr>
          <w:rFonts w:hint="eastAsia"/>
          <w:color w:val="auto"/>
        </w:rPr>
      </w:pPr>
      <w:r>
        <w:rPr>
          <w:rFonts w:hint="eastAsia"/>
          <w:color w:val="auto"/>
        </w:rPr>
        <w:t xml:space="preserve"> 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highlight w:val="none"/>
          <w:lang w:val="en-US" w:eastAsia="zh-CN"/>
        </w:rPr>
        <w:t>二、推动多网融合，破解物流瓶颈</w:t>
      </w:r>
      <w:r>
        <w:rPr>
          <w:rFonts w:hint="eastAsia"/>
          <w:color w:val="auto"/>
        </w:rPr>
        <w:t xml:space="preserve">  </w:t>
      </w:r>
    </w:p>
    <w:p>
      <w:pPr>
        <w:rPr>
          <w:rFonts w:hint="eastAsia"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（一）三级节点全覆盖</w:t>
      </w:r>
      <w:r>
        <w:rPr>
          <w:rFonts w:hint="eastAsia"/>
          <w:color w:val="auto"/>
        </w:rPr>
        <w:t xml:space="preserve">  </w:t>
      </w:r>
    </w:p>
    <w:p>
      <w:pP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 xml:space="preserve">构建“县枢纽—镇中转—村终端”物流网：  </w:t>
      </w:r>
    </w:p>
    <w:p>
      <w:pP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县级：建成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3073平方米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县级寄递物流共配中心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，整合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邮政、韵达、申通、极兔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等快递品牌，日均分拣量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eastAsia="zh-CN"/>
        </w:rPr>
        <w:t>约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6000票，全县日均派件量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eastAsia="zh-CN"/>
        </w:rPr>
        <w:t>约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3万票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 xml:space="preserve">，实现“统仓共配”。  </w:t>
      </w:r>
    </w:p>
    <w:p>
      <w:pPr>
        <w:rPr>
          <w:rFonts w:hint="eastAsia"/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镇村级：统筹邮政、供销资源，建成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eastAsia="zh-CN"/>
        </w:rPr>
        <w:t>镇级</w:t>
      </w:r>
      <w:r>
        <w:rPr>
          <w:rFonts w:hint="eastAsia" w:eastAsia="仿宋_GB2312"/>
          <w:color w:val="auto"/>
          <w:sz w:val="32"/>
          <w:szCs w:val="32"/>
          <w:highlight w:val="none"/>
          <w:lang w:val="en-US" w:eastAsia="zh-CN"/>
        </w:rPr>
        <w:t>寄递物流综合服务站16个，村级快递物流站点有208个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，行政村服务覆盖率达100%。</w:t>
      </w:r>
      <w:r>
        <w:rPr>
          <w:rFonts w:hint="eastAsia"/>
          <w:color w:val="auto"/>
          <w:highlight w:val="none"/>
        </w:rPr>
        <w:t xml:space="preserve">  </w:t>
      </w:r>
    </w:p>
    <w:p>
      <w:pPr>
        <w:rPr>
          <w:rFonts w:hint="eastAsia"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（二）客货邮融合降成本</w:t>
      </w:r>
      <w:r>
        <w:rPr>
          <w:rFonts w:hint="eastAsia"/>
          <w:color w:val="auto"/>
        </w:rPr>
        <w:t xml:space="preserve">  </w:t>
      </w:r>
    </w:p>
    <w:p>
      <w:pP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 xml:space="preserve">创新规划4条客货邮线路（覆盖东南西北片区），整合公交运力配送农产品。例如：  </w:t>
      </w:r>
    </w:p>
    <w:p>
      <w:pP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 xml:space="preserve">陈平镇线：通过公交捎带“桂笋一号”甜竹笋，减少中转环节，农户日增收100元；  </w:t>
      </w:r>
    </w:p>
    <w:p>
      <w:pPr>
        <w:rPr>
          <w:rFonts w:hint="eastAsia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武陵镇线：串珠手工艺品依托物流网转型“盲盒经济”，带动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00名农村妇女灵活就业。</w:t>
      </w:r>
      <w:r>
        <w:rPr>
          <w:rFonts w:hint="eastAsia"/>
          <w:color w:val="auto"/>
        </w:rPr>
        <w:t xml:space="preserve">  </w:t>
      </w:r>
    </w:p>
    <w:p>
      <w:pPr>
        <w:rPr>
          <w:rFonts w:hint="eastAsia"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（三）转型升级提效率</w:t>
      </w:r>
      <w:r>
        <w:rPr>
          <w:rFonts w:hint="eastAsia"/>
          <w:color w:val="auto"/>
        </w:rPr>
        <w:t xml:space="preserve">  </w:t>
      </w:r>
    </w:p>
    <w:p>
      <w:pPr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广西金恩大药房有限公司在我县16个镇共开有49家直营门店，由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/>
        </w:rPr>
        <w:t>广西金思医药大健康产业园现代物流仓储项目直接配送到店，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压缩流通时间50%以上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企业由传统的线下销售升级开设了线上业务，如在广西金恩药惠购、拼多多、京东、药师帮等多个平台线上销售，2024年三季度销售额为3385万元。</w:t>
      </w:r>
    </w:p>
    <w:p>
      <w:pPr>
        <w:rPr>
          <w:rFonts w:hint="eastAsia"/>
          <w:color w:val="auto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highlight w:val="none"/>
          <w:lang w:val="en-US" w:eastAsia="zh-CN"/>
        </w:rPr>
        <w:t xml:space="preserve"> 三、深化产业联动，激活乡村动能</w:t>
      </w:r>
      <w:r>
        <w:rPr>
          <w:rFonts w:hint="eastAsia"/>
          <w:color w:val="auto"/>
        </w:rPr>
        <w:t xml:space="preserve">  </w:t>
      </w:r>
    </w:p>
    <w:p>
      <w:pPr>
        <w:rPr>
          <w:rFonts w:hint="eastAsia"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（一）电商拓销路，农产品“触网升值”</w:t>
      </w:r>
      <w:r>
        <w:rPr>
          <w:rFonts w:hint="eastAsia"/>
          <w:color w:val="auto"/>
        </w:rPr>
        <w:t xml:space="preserve">  </w:t>
      </w:r>
    </w:p>
    <w:p>
      <w:pP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 xml:space="preserve">品牌突围：国家地理标志产品“古辣香米”通过旗舰店直播，月销售额从数万元跃升至60万元；沃柑通过“同柑共谷”果树认购模式（300元/棵），带动村集体增收10元/棵。  </w:t>
      </w:r>
    </w:p>
    <w:p>
      <w:pPr>
        <w:rPr>
          <w:rFonts w:hint="eastAsia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矩阵带货：广西桂嘉供应链公司组建7-8人主播团队，采取“卖完一园转战下一园”模式，2020年以来销售农产品超1000万元，带动农户增收600万元。</w:t>
      </w:r>
      <w:r>
        <w:rPr>
          <w:rFonts w:hint="eastAsia"/>
          <w:color w:val="auto"/>
        </w:rPr>
        <w:t xml:space="preserve">  </w:t>
      </w:r>
    </w:p>
    <w:p>
      <w:pPr>
        <w:rPr>
          <w:rFonts w:hint="eastAsia"/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（二）人才强技能，新农人“破土成林”</w:t>
      </w:r>
      <w:r>
        <w:rPr>
          <w:rFonts w:hint="eastAsia"/>
          <w:color w:val="auto"/>
        </w:rPr>
        <w:t xml:space="preserve">  </w:t>
      </w:r>
    </w:p>
    <w:p>
      <w:pP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 xml:space="preserve">分层培训：2024年举办电商技能班21期，培训1100余人，覆盖视频剪辑、直播运营等实操技能；  </w:t>
      </w:r>
    </w:p>
    <w:p>
      <w:pPr>
        <w:rPr>
          <w:rFonts w:hint="eastAsia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</w:rPr>
        <w:t>以赛促练：孵化专业主播50余名。武陵镇梁秀娇培育近100名农村妇女直播带货，月收入达4000-20000元。</w:t>
      </w:r>
      <w:r>
        <w:rPr>
          <w:rFonts w:hint="eastAsia"/>
          <w:color w:val="auto"/>
        </w:rPr>
        <w:t xml:space="preserve">  </w:t>
      </w:r>
    </w:p>
    <w:p>
      <w:pPr>
        <w:rPr>
          <w:color w:val="auto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（三）三产融合，特色产业“链式发展”</w:t>
      </w:r>
      <w:r>
        <w:rPr>
          <w:rFonts w:hint="eastAsia"/>
          <w:color w:val="auto"/>
        </w:rPr>
        <w:t xml:space="preserve">  </w:t>
      </w:r>
    </w:p>
    <w:tbl>
      <w:tblPr>
        <w:tblStyle w:val="13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6"/>
        <w:gridCol w:w="65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5" w:type="pct"/>
            <w:tcBorders>
              <w:top w:val="single" w:color="000000" w:sz="12" w:space="0"/>
              <w:bottom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8"/>
                <w:szCs w:val="28"/>
              </w:rPr>
              <w:t>产业类别</w:t>
            </w:r>
          </w:p>
        </w:tc>
        <w:tc>
          <w:tcPr>
            <w:tcW w:w="3834" w:type="pct"/>
            <w:tcBorders>
              <w:top w:val="single" w:color="000000" w:sz="12" w:space="0"/>
              <w:bottom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8"/>
                <w:szCs w:val="28"/>
              </w:rPr>
              <w:t>发展成效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富硒农业</w:t>
            </w:r>
          </w:p>
        </w:tc>
        <w:tc>
          <w:tcPr>
            <w:tcW w:w="3834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创建千亩富硒水稻基地3个，培育“壮香禾”等品牌，产值3200万元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电商手工业</w:t>
            </w:r>
          </w:p>
        </w:tc>
        <w:tc>
          <w:tcPr>
            <w:tcW w:w="3834" w:type="pct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新桥镇大罗村电商中心汇集100余种农特产品，年销售额破500万元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5" w:type="pct"/>
            <w:tcBorders>
              <w:top w:val="nil"/>
              <w:left w:val="nil"/>
              <w:bottom w:val="single" w:color="000000" w:sz="12" w:space="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left="0" w:leftChars="0" w:firstLine="0" w:firstLineChars="0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文旅融合</w:t>
            </w:r>
          </w:p>
        </w:tc>
        <w:tc>
          <w:tcPr>
            <w:tcW w:w="3834" w:type="pct"/>
            <w:tcBorders>
              <w:top w:val="nil"/>
              <w:left w:val="nil"/>
              <w:bottom w:val="single" w:color="000000" w:sz="12" w:space="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textAlignment w:val="auto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“稻花香里”农旅示范带带动观光收入，助推古辣香米溢价30%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。</w:t>
            </w:r>
          </w:p>
        </w:tc>
      </w:tr>
    </w:tbl>
    <w:p>
      <w:pPr>
        <w:ind w:left="0" w:leftChars="0" w:firstLine="0" w:firstLineChars="0"/>
        <w:rPr>
          <w:color w:val="auto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8F66BB"/>
    <w:rsid w:val="0AC018B0"/>
    <w:rsid w:val="0EB55565"/>
    <w:rsid w:val="0FB8675A"/>
    <w:rsid w:val="123E24E6"/>
    <w:rsid w:val="1D182187"/>
    <w:rsid w:val="24942B64"/>
    <w:rsid w:val="2F0F103A"/>
    <w:rsid w:val="336A19DF"/>
    <w:rsid w:val="41AA69A0"/>
    <w:rsid w:val="46415F51"/>
    <w:rsid w:val="508F66BB"/>
    <w:rsid w:val="5AE74542"/>
    <w:rsid w:val="5EBA601D"/>
    <w:rsid w:val="736D41DD"/>
    <w:rsid w:val="7495532C"/>
    <w:rsid w:val="78133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both"/>
    </w:pPr>
    <w:rPr>
      <w:rFonts w:ascii="宋体" w:hAnsi="宋体" w:eastAsia="仿宋" w:cs="宋体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pageBreakBefore/>
      <w:outlineLvl w:val="0"/>
    </w:pPr>
    <w:rPr>
      <w:rFonts w:eastAsia="黑体"/>
      <w:bCs/>
      <w:kern w:val="44"/>
      <w:szCs w:val="44"/>
    </w:rPr>
  </w:style>
  <w:style w:type="paragraph" w:styleId="3">
    <w:name w:val="heading 2"/>
    <w:basedOn w:val="1"/>
    <w:next w:val="1"/>
    <w:link w:val="16"/>
    <w:semiHidden/>
    <w:unhideWhenUsed/>
    <w:qFormat/>
    <w:uiPriority w:val="0"/>
    <w:pPr>
      <w:keepNext/>
      <w:keepLines/>
      <w:outlineLvl w:val="1"/>
    </w:pPr>
    <w:rPr>
      <w:rFonts w:eastAsia="楷体_GB2312" w:asciiTheme="majorAscii" w:hAnsiTheme="majorAscii" w:cstheme="majorBidi"/>
      <w:b/>
      <w:bCs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0"/>
    <w:pPr>
      <w:keepNext/>
      <w:keepLines/>
      <w:outlineLvl w:val="2"/>
    </w:pPr>
    <w:rPr>
      <w:rFonts w:eastAsia="仿宋_GB2312"/>
      <w:b/>
      <w:bCs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0"/>
    <w:pPr>
      <w:keepNext/>
      <w:keepLines/>
      <w:outlineLvl w:val="3"/>
    </w:pPr>
    <w:rPr>
      <w:rFonts w:asciiTheme="majorAscii" w:hAnsiTheme="majorAscii" w:cstheme="majorBidi"/>
      <w:b/>
      <w:bCs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0"/>
    <w:pPr>
      <w:keepNext/>
      <w:keepLines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ody Text"/>
    <w:basedOn w:val="1"/>
    <w:next w:val="9"/>
    <w:qFormat/>
    <w:uiPriority w:val="99"/>
    <w:rPr>
      <w:rFonts w:ascii="方正小标宋简体" w:hAnsi="方正小标宋简体" w:eastAsia="方正小标宋简体" w:cs="方正小标宋简体"/>
      <w:sz w:val="32"/>
      <w:szCs w:val="32"/>
      <w:lang w:val="zh-CN"/>
    </w:rPr>
  </w:style>
  <w:style w:type="paragraph" w:styleId="9">
    <w:name w:val="Title"/>
    <w:basedOn w:val="1"/>
    <w:next w:val="1"/>
    <w:qFormat/>
    <w:uiPriority w:val="0"/>
    <w:pPr>
      <w:spacing w:line="580" w:lineRule="exact"/>
      <w:ind w:firstLine="880" w:firstLineChars="200"/>
    </w:pPr>
    <w:rPr>
      <w:rFonts w:ascii="Times New Roman" w:hAnsi="Times New Roman"/>
      <w:bCs/>
      <w:szCs w:val="32"/>
    </w:rPr>
  </w:style>
  <w:style w:type="paragraph" w:styleId="10">
    <w:name w:val="Plain Text"/>
    <w:basedOn w:val="1"/>
    <w:qFormat/>
    <w:uiPriority w:val="0"/>
    <w:rPr>
      <w:rFonts w:ascii="宋体" w:hAnsi="Courier New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5">
    <w:name w:val="标题 1 字符"/>
    <w:basedOn w:val="14"/>
    <w:link w:val="2"/>
    <w:qFormat/>
    <w:uiPriority w:val="9"/>
    <w:rPr>
      <w:rFonts w:ascii="宋体" w:hAnsi="宋体" w:eastAsia="黑体" w:cs="宋体"/>
      <w:bCs/>
      <w:kern w:val="44"/>
      <w:sz w:val="32"/>
      <w:szCs w:val="44"/>
    </w:rPr>
  </w:style>
  <w:style w:type="character" w:customStyle="1" w:styleId="16">
    <w:name w:val="标题 2 字符"/>
    <w:basedOn w:val="14"/>
    <w:link w:val="3"/>
    <w:qFormat/>
    <w:uiPriority w:val="9"/>
    <w:rPr>
      <w:rFonts w:eastAsia="楷体_GB2312" w:asciiTheme="majorAscii" w:hAnsiTheme="majorAscii" w:cstheme="majorBidi"/>
      <w:b/>
      <w:bCs/>
      <w:sz w:val="32"/>
      <w:szCs w:val="32"/>
    </w:rPr>
  </w:style>
  <w:style w:type="character" w:customStyle="1" w:styleId="17">
    <w:name w:val="标题 3 字符"/>
    <w:basedOn w:val="14"/>
    <w:link w:val="4"/>
    <w:qFormat/>
    <w:uiPriority w:val="9"/>
    <w:rPr>
      <w:rFonts w:ascii="宋体" w:hAnsi="宋体" w:eastAsia="仿宋_GB2312" w:cs="宋体"/>
      <w:b/>
      <w:bCs/>
      <w:sz w:val="32"/>
      <w:szCs w:val="32"/>
    </w:rPr>
  </w:style>
  <w:style w:type="character" w:customStyle="1" w:styleId="18">
    <w:name w:val="标题 4 字符"/>
    <w:basedOn w:val="14"/>
    <w:link w:val="5"/>
    <w:qFormat/>
    <w:uiPriority w:val="9"/>
    <w:rPr>
      <w:rFonts w:eastAsia="仿宋" w:asciiTheme="majorAscii" w:hAnsiTheme="majorAscii" w:cstheme="majorBidi"/>
      <w:b/>
      <w:bCs/>
      <w:sz w:val="32"/>
      <w:szCs w:val="28"/>
    </w:rPr>
  </w:style>
  <w:style w:type="character" w:customStyle="1" w:styleId="19">
    <w:name w:val="标题 5 字符"/>
    <w:basedOn w:val="14"/>
    <w:link w:val="6"/>
    <w:qFormat/>
    <w:uiPriority w:val="9"/>
    <w:rPr>
      <w:rFonts w:eastAsia="仿宋"/>
      <w:b/>
      <w:bCs/>
      <w:sz w:val="28"/>
      <w:szCs w:val="28"/>
    </w:rPr>
  </w:style>
  <w:style w:type="paragraph" w:customStyle="1" w:styleId="20">
    <w:name w:val="样式1"/>
    <w:basedOn w:val="1"/>
    <w:qFormat/>
    <w:uiPriority w:val="0"/>
    <w:pPr>
      <w:ind w:firstLine="0" w:firstLineChars="0"/>
    </w:pPr>
    <w:rPr>
      <w:rFonts w:ascii="宋体" w:hAnsi="宋体" w:cs="宋体"/>
    </w:rPr>
  </w:style>
  <w:style w:type="paragraph" w:customStyle="1" w:styleId="21">
    <w:name w:val="贴表"/>
    <w:next w:val="10"/>
    <w:qFormat/>
    <w:uiPriority w:val="0"/>
    <w:pPr>
      <w:spacing w:line="240" w:lineRule="auto"/>
      <w:ind w:firstLine="0" w:firstLineChars="0"/>
      <w:jc w:val="center"/>
    </w:pPr>
    <w:rPr>
      <w:rFonts w:eastAsia="仿宋_GB2312" w:cs="Times New Roman" w:asciiTheme="minorAscii" w:hAnsiTheme="minorAscii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1293</Words>
  <Characters>1374</Characters>
  <Lines>0</Lines>
  <Paragraphs>0</Paragraphs>
  <TotalTime>4</TotalTime>
  <ScaleCrop>false</ScaleCrop>
  <LinksUpToDate>false</LinksUpToDate>
  <CharactersWithSpaces>1433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2025-07-27T07:00:00Z</dcterms:created>
  <dc:creator>高宏亮</dc:creator>
  <cp:lastModifiedBy>Administrator</cp:lastModifiedBy>
  <dcterms:modified xsi:type="dcterms:W3CDTF">2025-08-01T08:23:48Z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EF1F2437AC364E1B9676944891549C28</vt:lpwstr>
  </property>
  <property fmtid="{D5CDD505-2E9C-101B-9397-08002B2CF9AE}" pid="4" name="KSOTemplateDocerSaveRecord">
    <vt:lpwstr>eyJoZGlkIjoiZmZjMTM4NWE2ODVlMWFlM2ZmODIzYTVmMzM3YzUzOTMiLCJ1c2VySWQiOiI2NTc4NTM0OTAifQ==</vt:lpwstr>
  </property>
</Properties>
</file>